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065A3" w14:textId="77777777" w:rsidR="00C07DE7" w:rsidRPr="00D942D5" w:rsidRDefault="00C07DE7" w:rsidP="00C07DE7">
      <w:pPr>
        <w:pStyle w:val="Heading2"/>
      </w:pPr>
      <w:bookmarkStart w:id="0" w:name="_GoBack"/>
      <w:bookmarkEnd w:id="0"/>
      <w:r w:rsidRPr="00D942D5">
        <w:t>Policy Statement</w:t>
      </w:r>
    </w:p>
    <w:p w14:paraId="47B065A4" w14:textId="77777777" w:rsidR="00C07DE7" w:rsidRPr="00D942D5" w:rsidRDefault="00C07DE7" w:rsidP="00C07DE7">
      <w:pPr>
        <w:pStyle w:val="Heading2"/>
      </w:pPr>
      <w:r>
        <w:t>Primary m</w:t>
      </w:r>
      <w:r w:rsidRPr="00D942D5">
        <w:t xml:space="preserve">edical </w:t>
      </w:r>
      <w:r>
        <w:t xml:space="preserve">programs provided </w:t>
      </w:r>
      <w:r w:rsidRPr="00D942D5">
        <w:t>offshore</w:t>
      </w:r>
      <w:r>
        <w:t xml:space="preserve"> </w:t>
      </w:r>
      <w:r w:rsidRPr="00D942D5">
        <w:t xml:space="preserve">by Australian and/or New Zealand </w:t>
      </w:r>
      <w:r>
        <w:t xml:space="preserve">education providers </w:t>
      </w:r>
    </w:p>
    <w:p w14:paraId="47B065A5" w14:textId="77777777" w:rsidR="00C07DE7" w:rsidRPr="003D0FEF" w:rsidRDefault="00C07DE7" w:rsidP="00C07DE7">
      <w:pPr>
        <w:pStyle w:val="AMCBodyCopy"/>
      </w:pPr>
    </w:p>
    <w:p w14:paraId="47B065A6" w14:textId="77777777" w:rsidR="00C07DE7" w:rsidRPr="00C07DE7" w:rsidRDefault="00C07DE7" w:rsidP="00C07DE7">
      <w:pPr>
        <w:pStyle w:val="AMCBodyCopy"/>
        <w:rPr>
          <w:b/>
          <w:i/>
        </w:rPr>
      </w:pPr>
      <w:r w:rsidRPr="00C07DE7">
        <w:rPr>
          <w:b/>
          <w:i/>
        </w:rPr>
        <w:t>1</w:t>
      </w:r>
      <w:r w:rsidRPr="00C07DE7">
        <w:rPr>
          <w:b/>
          <w:i/>
        </w:rPr>
        <w:tab/>
        <w:t xml:space="preserve">Role of the Australian Medical Council </w:t>
      </w:r>
    </w:p>
    <w:p w14:paraId="47B065A7" w14:textId="4D1D6482" w:rsidR="00C07DE7" w:rsidRDefault="00C07DE7" w:rsidP="00C07DE7">
      <w:pPr>
        <w:pStyle w:val="AMCBodyCopy"/>
        <w:ind w:left="567" w:hanging="567"/>
      </w:pPr>
      <w:r w:rsidRPr="003D0FEF">
        <w:t>1.1</w:t>
      </w:r>
      <w:r w:rsidRPr="003D0FEF">
        <w:tab/>
        <w:t>The Australian Medical Council is a national standards</w:t>
      </w:r>
      <w:r>
        <w:t>,</w:t>
      </w:r>
      <w:r w:rsidRPr="003D0FEF">
        <w:t xml:space="preserve"> assessment </w:t>
      </w:r>
      <w:r>
        <w:t xml:space="preserve">and accreditation </w:t>
      </w:r>
      <w:r w:rsidRPr="003D0FEF">
        <w:t>body for medicine. Its purpose is to ensure that standards of education, training and assessment of the medical profession promote and protect the health of the Australian community.</w:t>
      </w:r>
      <w:r>
        <w:t xml:space="preserve"> Its accreditation roles include:</w:t>
      </w:r>
    </w:p>
    <w:p w14:paraId="47B065A8" w14:textId="412A5001" w:rsidR="00C07DE7" w:rsidRPr="00CD7EDE" w:rsidRDefault="00C07DE7" w:rsidP="00522018">
      <w:pPr>
        <w:pStyle w:val="AMCBodyCopy"/>
        <w:numPr>
          <w:ilvl w:val="0"/>
          <w:numId w:val="4"/>
        </w:numPr>
        <w:ind w:left="1134" w:hanging="567"/>
      </w:pPr>
      <w:r w:rsidRPr="00CD7EDE">
        <w:t>assess</w:t>
      </w:r>
      <w:r w:rsidR="000D3F5F">
        <w:t>ing</w:t>
      </w:r>
      <w:r w:rsidRPr="00CD7EDE">
        <w:t xml:space="preserve"> programs of study based predominantly in Australia and New Zealand</w:t>
      </w:r>
      <w:r w:rsidR="000D3F5F">
        <w:t>,</w:t>
      </w:r>
      <w:r w:rsidRPr="00CD7EDE">
        <w:t xml:space="preserve"> leading to general or specialist registration of the graduates of those programs to practise medicine in Australia</w:t>
      </w:r>
      <w:r w:rsidR="000D3F5F">
        <w:t>,</w:t>
      </w:r>
      <w:r w:rsidRPr="00CD7EDE">
        <w:t xml:space="preserve"> to determine whether the programs meet approved accreditation standards, and to make recommendations for improvement of those programs; </w:t>
      </w:r>
    </w:p>
    <w:p w14:paraId="47B065A9" w14:textId="0F4C0A83" w:rsidR="00C07DE7" w:rsidRPr="00CD7EDE" w:rsidRDefault="00C07DE7" w:rsidP="00522018">
      <w:pPr>
        <w:pStyle w:val="AMCBodyCopy"/>
        <w:numPr>
          <w:ilvl w:val="0"/>
          <w:numId w:val="4"/>
        </w:numPr>
        <w:ind w:left="1134" w:hanging="567"/>
      </w:pPr>
      <w:proofErr w:type="gramStart"/>
      <w:r w:rsidRPr="00CD7EDE">
        <w:t>assess</w:t>
      </w:r>
      <w:r w:rsidR="000D3F5F">
        <w:t>ing</w:t>
      </w:r>
      <w:proofErr w:type="gramEnd"/>
      <w:r w:rsidRPr="00CD7EDE">
        <w:t xml:space="preserve"> education providers based predominantly in Australia and New Zealand that provide programs of study leading to general or specialist registration of the graduates of those programs to practice medicine in Australia, </w:t>
      </w:r>
      <w:r w:rsidR="000D3F5F">
        <w:t xml:space="preserve">and </w:t>
      </w:r>
      <w:r w:rsidRPr="00CD7EDE">
        <w:t>to determine whether the providers meet approved accreditation standards</w:t>
      </w:r>
      <w:r w:rsidR="005E2175">
        <w:rPr>
          <w:b/>
        </w:rPr>
        <w:t>.</w:t>
      </w:r>
      <w:r>
        <w:rPr>
          <w:rStyle w:val="FootnoteReference"/>
          <w:rFonts w:cs="Arial"/>
          <w:b/>
          <w:szCs w:val="22"/>
        </w:rPr>
        <w:footnoteReference w:id="1"/>
      </w:r>
    </w:p>
    <w:p w14:paraId="47B065AA" w14:textId="733BF663" w:rsidR="00C07DE7" w:rsidRDefault="00C07DE7" w:rsidP="00C07DE7">
      <w:pPr>
        <w:pStyle w:val="AMCBodyCopy"/>
        <w:ind w:left="567" w:hanging="567"/>
      </w:pPr>
      <w:r>
        <w:t>1.2</w:t>
      </w:r>
      <w:r>
        <w:tab/>
      </w:r>
      <w:r w:rsidRPr="003D0FEF">
        <w:t xml:space="preserve">The AMC </w:t>
      </w:r>
      <w:r>
        <w:t xml:space="preserve">is the </w:t>
      </w:r>
      <w:r w:rsidRPr="003D0FEF">
        <w:t xml:space="preserve">accreditation </w:t>
      </w:r>
      <w:r>
        <w:t xml:space="preserve">authority </w:t>
      </w:r>
      <w:r w:rsidRPr="003D0FEF">
        <w:t xml:space="preserve">for medicine </w:t>
      </w:r>
      <w:r>
        <w:t>u</w:t>
      </w:r>
      <w:r w:rsidRPr="003D0FEF">
        <w:t xml:space="preserve">nder the </w:t>
      </w:r>
      <w:r w:rsidRPr="003D0FEF">
        <w:rPr>
          <w:bCs/>
          <w:i/>
          <w:lang w:eastAsia="en-AU"/>
        </w:rPr>
        <w:t xml:space="preserve">Health Practitioner Regulation National Law </w:t>
      </w:r>
      <w:r w:rsidRPr="006E4782">
        <w:rPr>
          <w:bCs/>
          <w:lang w:eastAsia="en-AU"/>
        </w:rPr>
        <w:t>in force</w:t>
      </w:r>
      <w:r>
        <w:rPr>
          <w:bCs/>
          <w:i/>
          <w:lang w:eastAsia="en-AU"/>
        </w:rPr>
        <w:t xml:space="preserve"> </w:t>
      </w:r>
      <w:r>
        <w:t>in each state and territory (the National Law).</w:t>
      </w:r>
      <w:r w:rsidRPr="003D0FEF">
        <w:t xml:space="preserve"> </w:t>
      </w:r>
    </w:p>
    <w:p w14:paraId="47B065AB" w14:textId="6BB15315" w:rsidR="00C07DE7" w:rsidRDefault="00C07DE7" w:rsidP="00C07DE7">
      <w:pPr>
        <w:pStyle w:val="AMCBodyCopy"/>
        <w:ind w:left="567" w:hanging="567"/>
      </w:pPr>
      <w:r>
        <w:t>1.3</w:t>
      </w:r>
      <w:r>
        <w:tab/>
        <w:t>Accreditation functions for regulated health professions are defined under the National Law. As the accreditation authority</w:t>
      </w:r>
      <w:r w:rsidR="00D236F6">
        <w:t xml:space="preserve"> for medicine</w:t>
      </w:r>
      <w:r>
        <w:t>, the AMC develops accreditation standards for medical programs and their education providers</w:t>
      </w:r>
      <w:r>
        <w:rPr>
          <w:rStyle w:val="FootnoteReference"/>
        </w:rPr>
        <w:footnoteReference w:id="2"/>
      </w:r>
      <w:r>
        <w:t>. It uses accreditation standards to assess programs and their providers for the purposes of accreditation. The AMC also uses the accreditation standards for monitoring accredited programs and providers to ensure that they continue to meet the standards.</w:t>
      </w:r>
    </w:p>
    <w:p w14:paraId="47B065AC" w14:textId="0DDC07A1" w:rsidR="00C07DE7" w:rsidRPr="003D0FEF" w:rsidRDefault="00C07DE7" w:rsidP="00C07DE7">
      <w:pPr>
        <w:pStyle w:val="AMCBodyCopy"/>
        <w:ind w:left="567" w:hanging="567"/>
      </w:pPr>
      <w:r w:rsidRPr="003D0FEF">
        <w:t>1.</w:t>
      </w:r>
      <w:r>
        <w:t>4</w:t>
      </w:r>
      <w:r w:rsidRPr="003D0FEF">
        <w:tab/>
        <w:t xml:space="preserve">The purpose of AMC accreditation is the recognition of medical </w:t>
      </w:r>
      <w:r>
        <w:t xml:space="preserve">programs </w:t>
      </w:r>
      <w:r w:rsidRPr="003D0FEF">
        <w:t xml:space="preserve">that produce graduates competent to practise safely and effectively under supervision as interns in Australia and New Zealand, and with an appropriate foundation for lifelong learning and for further training in any branch of medicine. </w:t>
      </w:r>
      <w:r>
        <w:t>Under the National Law</w:t>
      </w:r>
      <w:r w:rsidR="0000504D">
        <w:t>,</w:t>
      </w:r>
      <w:r>
        <w:t xml:space="preserve"> only programs of study accredited by the AMC can be approved by the Medical Board of Australia as providing a qualification for the purposes of registration in medicine.  </w:t>
      </w:r>
    </w:p>
    <w:p w14:paraId="47B065AE" w14:textId="68840B67" w:rsidR="00C07DE7" w:rsidRDefault="00C07DE7" w:rsidP="00C07DE7">
      <w:pPr>
        <w:rPr>
          <w:color w:val="000000"/>
          <w:sz w:val="24"/>
          <w:lang w:eastAsia="en-AU"/>
        </w:rPr>
      </w:pPr>
    </w:p>
    <w:p w14:paraId="47B065AF" w14:textId="77777777" w:rsidR="00C07DE7" w:rsidRPr="00C07DE7" w:rsidRDefault="00C07DE7" w:rsidP="00C07DE7">
      <w:pPr>
        <w:pStyle w:val="AMCBodyCopy"/>
        <w:rPr>
          <w:b/>
          <w:i/>
        </w:rPr>
      </w:pPr>
      <w:r w:rsidRPr="00C07DE7">
        <w:rPr>
          <w:b/>
          <w:i/>
        </w:rPr>
        <w:lastRenderedPageBreak/>
        <w:t>2</w:t>
      </w:r>
      <w:r w:rsidRPr="00C07DE7">
        <w:rPr>
          <w:b/>
          <w:i/>
        </w:rPr>
        <w:tab/>
        <w:t xml:space="preserve">Higher education in Australia and New Zealand </w:t>
      </w:r>
    </w:p>
    <w:p w14:paraId="47B065B0" w14:textId="40B564FA" w:rsidR="00C07DE7" w:rsidRDefault="00C07DE7" w:rsidP="00C07DE7">
      <w:pPr>
        <w:pStyle w:val="AMCBodyCopy"/>
        <w:ind w:left="567" w:hanging="567"/>
      </w:pPr>
      <w:r w:rsidRPr="003D0FEF">
        <w:t>2.1</w:t>
      </w:r>
      <w:r w:rsidRPr="003D0FEF">
        <w:tab/>
      </w:r>
      <w:r>
        <w:t xml:space="preserve">Primary </w:t>
      </w:r>
      <w:r w:rsidRPr="003D0FEF">
        <w:t xml:space="preserve">medical education in Australia and New Zealand is provided by </w:t>
      </w:r>
      <w:r>
        <w:t>medical education providers (generically</w:t>
      </w:r>
      <w:r w:rsidR="00AF0048">
        <w:t xml:space="preserve"> known</w:t>
      </w:r>
      <w:r>
        <w:t xml:space="preserve"> as </w:t>
      </w:r>
      <w:r w:rsidRPr="003D0FEF">
        <w:t>medical schools</w:t>
      </w:r>
      <w:r>
        <w:t>) based in</w:t>
      </w:r>
      <w:r w:rsidR="00AD0A63">
        <w:t xml:space="preserve"> registered</w:t>
      </w:r>
      <w:r>
        <w:t xml:space="preserve"> higher education providers (presently universities)</w:t>
      </w:r>
      <w:r w:rsidRPr="003D0FEF">
        <w:t xml:space="preserve">.  </w:t>
      </w:r>
    </w:p>
    <w:p w14:paraId="47B065B1" w14:textId="40270EE3" w:rsidR="00C07DE7" w:rsidRDefault="00C07DE7" w:rsidP="00C07DE7">
      <w:pPr>
        <w:pStyle w:val="AMCBodyCopy"/>
        <w:ind w:left="567" w:hanging="567"/>
      </w:pPr>
      <w:r>
        <w:t>2.2</w:t>
      </w:r>
      <w:r>
        <w:tab/>
      </w:r>
      <w:r w:rsidRPr="003D0FEF">
        <w:t xml:space="preserve">Both Australia and New Zealand have national quality assurance </w:t>
      </w:r>
      <w:r>
        <w:t xml:space="preserve">processes </w:t>
      </w:r>
      <w:r w:rsidRPr="003D0FEF">
        <w:t xml:space="preserve">for higher education. </w:t>
      </w:r>
      <w:r>
        <w:t>These systems provide assurance that higher education providers have demonstrated they meet nationally agreed standards.</w:t>
      </w:r>
      <w:r w:rsidRPr="003D0FEF">
        <w:t xml:space="preserve"> In Australia</w:t>
      </w:r>
      <w:r w:rsidRPr="0075594F">
        <w:t xml:space="preserve">, </w:t>
      </w:r>
      <w:r>
        <w:t>t</w:t>
      </w:r>
      <w:r w:rsidRPr="0075594F">
        <w:rPr>
          <w:color w:val="333333"/>
          <w:shd w:val="clear" w:color="auto" w:fill="FFFFFF"/>
        </w:rPr>
        <w:t>he Tertiary Education Quality Standards Agency (TEQSA)</w:t>
      </w:r>
      <w:r>
        <w:rPr>
          <w:rStyle w:val="FootnoteReference"/>
          <w:color w:val="333333"/>
          <w:shd w:val="clear" w:color="auto" w:fill="FFFFFF"/>
        </w:rPr>
        <w:footnoteReference w:id="3"/>
      </w:r>
      <w:r>
        <w:rPr>
          <w:color w:val="333333"/>
          <w:shd w:val="clear" w:color="auto" w:fill="FFFFFF"/>
        </w:rPr>
        <w:t xml:space="preserve">, </w:t>
      </w:r>
      <w:r w:rsidRPr="0075594F">
        <w:rPr>
          <w:color w:val="333333"/>
          <w:shd w:val="clear" w:color="auto" w:fill="FFFFFF"/>
        </w:rPr>
        <w:t>an independent statutory authority</w:t>
      </w:r>
      <w:r>
        <w:rPr>
          <w:color w:val="333333"/>
          <w:shd w:val="clear" w:color="auto" w:fill="FFFFFF"/>
        </w:rPr>
        <w:t>,</w:t>
      </w:r>
      <w:r w:rsidRPr="0075594F">
        <w:rPr>
          <w:color w:val="333333"/>
          <w:shd w:val="clear" w:color="auto" w:fill="FFFFFF"/>
        </w:rPr>
        <w:t xml:space="preserve"> </w:t>
      </w:r>
      <w:r w:rsidR="00AD0A63" w:rsidRPr="003A49C7">
        <w:rPr>
          <w:color w:val="auto"/>
          <w:lang w:eastAsia="en-AU"/>
        </w:rPr>
        <w:t>assesses compliance with the Higher Education Standards Framework and registers</w:t>
      </w:r>
      <w:r w:rsidRPr="003A49C7">
        <w:rPr>
          <w:color w:val="auto"/>
          <w:shd w:val="clear" w:color="auto" w:fill="FFFFFF"/>
        </w:rPr>
        <w:t xml:space="preserve"> </w:t>
      </w:r>
      <w:r w:rsidRPr="0075594F">
        <w:rPr>
          <w:color w:val="333333"/>
          <w:shd w:val="clear" w:color="auto" w:fill="FFFFFF"/>
        </w:rPr>
        <w:t>higher education providers against the Higher Education Standards Framework</w:t>
      </w:r>
      <w:r>
        <w:rPr>
          <w:color w:val="333333"/>
          <w:shd w:val="clear" w:color="auto" w:fill="FFFFFF"/>
        </w:rPr>
        <w:t xml:space="preserve">. </w:t>
      </w:r>
      <w:r>
        <w:t xml:space="preserve">Two bodies oversee the quality assurance of universities </w:t>
      </w:r>
      <w:r w:rsidR="00AF0048">
        <w:t>i</w:t>
      </w:r>
      <w:r>
        <w:t>n New Zealand</w:t>
      </w:r>
      <w:r w:rsidR="00583E33">
        <w:t>.</w:t>
      </w:r>
      <w:r>
        <w:t xml:space="preserve"> Universities New Zealand – Te Pōkai Tara’s Committee on University Academic Programmes is charged with setting up and applying qualification and regulation approval, accreditation and program moderation procedures across universities. The Academic Quality Agency for New Zealand Universities supports universities in their achievement of standards of excellence in research and teaching through regular institutional audit and the promotion of quality enhancement practices across the sector</w:t>
      </w:r>
      <w:r>
        <w:rPr>
          <w:rStyle w:val="FootnoteReference"/>
        </w:rPr>
        <w:footnoteReference w:id="4"/>
      </w:r>
      <w:r>
        <w:t xml:space="preserve">. </w:t>
      </w:r>
    </w:p>
    <w:p w14:paraId="47B065B2" w14:textId="77777777" w:rsidR="00C07DE7" w:rsidRPr="003D0FEF" w:rsidRDefault="00C07DE7" w:rsidP="00C07DE7">
      <w:pPr>
        <w:pStyle w:val="AMCBodyCopy"/>
        <w:ind w:left="567" w:hanging="567"/>
      </w:pPr>
      <w:r>
        <w:t xml:space="preserve"> </w:t>
      </w:r>
      <w:r w:rsidRPr="003D0FEF">
        <w:t>2.</w:t>
      </w:r>
      <w:r>
        <w:t>3</w:t>
      </w:r>
      <w:r w:rsidRPr="003D0FEF">
        <w:tab/>
        <w:t>In Australia</w:t>
      </w:r>
      <w:r>
        <w:t xml:space="preserve"> and New Zealand</w:t>
      </w:r>
      <w:r w:rsidRPr="003D0FEF">
        <w:t xml:space="preserve">, </w:t>
      </w:r>
      <w:r>
        <w:t xml:space="preserve">higher education providers may offer places to </w:t>
      </w:r>
      <w:r w:rsidRPr="003D0FEF">
        <w:t xml:space="preserve">fee paying students from overseas. In line with this policy, Australian </w:t>
      </w:r>
      <w:r>
        <w:t xml:space="preserve">and New Zealand </w:t>
      </w:r>
      <w:r w:rsidRPr="003D0FEF">
        <w:t xml:space="preserve">medical schools enrol international students. These students occupy places offered over and above the number of places available for domestic students.   </w:t>
      </w:r>
    </w:p>
    <w:p w14:paraId="47B065B3" w14:textId="77777777" w:rsidR="00C07DE7" w:rsidRDefault="00C07DE7" w:rsidP="00C07DE7">
      <w:pPr>
        <w:pStyle w:val="AMCBodyCopy"/>
        <w:ind w:left="567" w:hanging="567"/>
      </w:pPr>
      <w:r w:rsidRPr="003D0FEF">
        <w:t>2.</w:t>
      </w:r>
      <w:r>
        <w:t>4</w:t>
      </w:r>
      <w:r w:rsidRPr="003D0FEF">
        <w:tab/>
        <w:t xml:space="preserve">A number of Australian </w:t>
      </w:r>
      <w:r>
        <w:t xml:space="preserve">higher education providers provide </w:t>
      </w:r>
      <w:r w:rsidRPr="003D0FEF">
        <w:t>courses in other countries</w:t>
      </w:r>
      <w:r>
        <w:t xml:space="preserve"> and</w:t>
      </w:r>
      <w:r w:rsidRPr="003D0FEF">
        <w:t xml:space="preserve"> </w:t>
      </w:r>
      <w:r>
        <w:t>TEQSA regulates the offshore provision of Australian higher education.</w:t>
      </w:r>
      <w:r>
        <w:rPr>
          <w:rStyle w:val="FootnoteReference"/>
        </w:rPr>
        <w:footnoteReference w:id="5"/>
      </w:r>
      <w:r w:rsidR="002E715A">
        <w:t xml:space="preserve">  </w:t>
      </w:r>
    </w:p>
    <w:p w14:paraId="47B065B4" w14:textId="0D25FBF0" w:rsidR="00C07DE7" w:rsidRPr="003D0FEF" w:rsidRDefault="00C07DE7" w:rsidP="00C07DE7">
      <w:pPr>
        <w:pStyle w:val="AMCBodyCopy"/>
        <w:ind w:left="567" w:hanging="567"/>
      </w:pPr>
      <w:r>
        <w:t>2.5</w:t>
      </w:r>
      <w:r>
        <w:tab/>
        <w:t xml:space="preserve">Offshore provision arrangements </w:t>
      </w:r>
      <w:r w:rsidRPr="003D0FEF">
        <w:t xml:space="preserve">include the establishment of campuses, companies, joint ventures or contracts with other organisations in the delivery of programs.  The organisation delivering programs may be operating under the name of the delivery agency or the </w:t>
      </w:r>
      <w:r w:rsidR="002E715A">
        <w:t xml:space="preserve">higher education provider </w:t>
      </w:r>
      <w:r w:rsidRPr="003D0FEF">
        <w:t>offering the award.</w:t>
      </w:r>
    </w:p>
    <w:p w14:paraId="47B065B5" w14:textId="77777777" w:rsidR="00C07DE7" w:rsidRPr="003D0FEF" w:rsidRDefault="00C07DE7" w:rsidP="00C07DE7">
      <w:pPr>
        <w:pStyle w:val="AMCBodyCopy"/>
      </w:pPr>
    </w:p>
    <w:p w14:paraId="47B065B6" w14:textId="77777777" w:rsidR="00C07DE7" w:rsidRPr="00C07DE7" w:rsidRDefault="00C07DE7" w:rsidP="00C07DE7">
      <w:pPr>
        <w:pStyle w:val="AMCBodyCopy"/>
        <w:ind w:left="567" w:hanging="567"/>
        <w:rPr>
          <w:b/>
          <w:i/>
        </w:rPr>
      </w:pPr>
      <w:r w:rsidRPr="00C07DE7">
        <w:rPr>
          <w:b/>
          <w:i/>
        </w:rPr>
        <w:t>3</w:t>
      </w:r>
      <w:r w:rsidRPr="00C07DE7">
        <w:rPr>
          <w:b/>
          <w:i/>
        </w:rPr>
        <w:tab/>
        <w:t xml:space="preserve">Implications of an offshore provision of a medical program accreditable by the AMC </w:t>
      </w:r>
    </w:p>
    <w:p w14:paraId="49345FA5" w14:textId="77777777" w:rsidR="005132D6" w:rsidRDefault="00C07DE7" w:rsidP="005132D6">
      <w:pPr>
        <w:pStyle w:val="AMCBodyCopy"/>
        <w:ind w:left="567" w:hanging="567"/>
      </w:pPr>
      <w:r w:rsidRPr="003D0FEF">
        <w:t>3.</w:t>
      </w:r>
      <w:r>
        <w:t>1</w:t>
      </w:r>
      <w:r w:rsidRPr="003D0FEF">
        <w:tab/>
      </w:r>
      <w:r>
        <w:t>Australian and New Zealand higher education providers planning to establish a new medical program and provide the program substantially or partly offshore will require AMC accreditation</w:t>
      </w:r>
      <w:r w:rsidRPr="003D0FEF">
        <w:t xml:space="preserve">. </w:t>
      </w:r>
      <w:r>
        <w:t xml:space="preserve">The quality of offshore education involving Australian and New Zealand medical schools is critical to the reputation of Australian and New Zealand medical education. </w:t>
      </w:r>
    </w:p>
    <w:p w14:paraId="47B065B8" w14:textId="79461760" w:rsidR="00C07DE7" w:rsidRDefault="00C07DE7" w:rsidP="005132D6">
      <w:pPr>
        <w:pStyle w:val="AMCBodyCopy"/>
        <w:ind w:left="567" w:hanging="567"/>
      </w:pPr>
      <w:r w:rsidRPr="003D0FEF">
        <w:t>3.</w:t>
      </w:r>
      <w:r>
        <w:t>2</w:t>
      </w:r>
      <w:r w:rsidRPr="003D0FEF">
        <w:tab/>
        <w:t xml:space="preserve">Major changes to a medical </w:t>
      </w:r>
      <w:r>
        <w:t xml:space="preserve">program or provider </w:t>
      </w:r>
      <w:r w:rsidRPr="003D0FEF">
        <w:t>may affect the accreditation status</w:t>
      </w:r>
      <w:r w:rsidRPr="003D0FEF">
        <w:rPr>
          <w:rStyle w:val="FootnoteReference"/>
        </w:rPr>
        <w:footnoteReference w:id="6"/>
      </w:r>
      <w:r>
        <w:t>.</w:t>
      </w:r>
      <w:r w:rsidRPr="003D0FEF">
        <w:t xml:space="preserve"> </w:t>
      </w:r>
      <w:r>
        <w:t>The AMC institutes a</w:t>
      </w:r>
      <w:r w:rsidRPr="003D0FEF">
        <w:t xml:space="preserve"> series of procedures to assess such changes</w:t>
      </w:r>
      <w:r>
        <w:t xml:space="preserve"> in accredited </w:t>
      </w:r>
      <w:r>
        <w:lastRenderedPageBreak/>
        <w:t>programs</w:t>
      </w:r>
      <w:r w:rsidRPr="003D0FEF">
        <w:t xml:space="preserve">, </w:t>
      </w:r>
      <w:r>
        <w:t xml:space="preserve">including </w:t>
      </w:r>
      <w:r w:rsidRPr="003D0FEF">
        <w:t xml:space="preserve">a two-stage assessment process, described in greater detail in </w:t>
      </w:r>
      <w:r w:rsidRPr="003D0FEF">
        <w:rPr>
          <w:i/>
          <w:iCs/>
        </w:rPr>
        <w:t xml:space="preserve">Assessment and Accreditation of </w:t>
      </w:r>
      <w:r>
        <w:rPr>
          <w:i/>
          <w:iCs/>
        </w:rPr>
        <w:t>Primary Medical Programs by the Australian Medical Council</w:t>
      </w:r>
      <w:r w:rsidRPr="003D0FEF">
        <w:rPr>
          <w:i/>
          <w:iCs/>
        </w:rPr>
        <w:t xml:space="preserve">: Standards and Procedures. </w:t>
      </w:r>
      <w:r w:rsidRPr="003D0FEF">
        <w:t xml:space="preserve"> </w:t>
      </w:r>
    </w:p>
    <w:p w14:paraId="47B065B9" w14:textId="77777777" w:rsidR="00C07DE7" w:rsidRPr="003D0FEF" w:rsidRDefault="00C07DE7" w:rsidP="00C07DE7">
      <w:pPr>
        <w:pStyle w:val="AMCBodyCopy"/>
        <w:ind w:left="567" w:hanging="567"/>
      </w:pPr>
      <w:r>
        <w:t>3.3</w:t>
      </w:r>
      <w:r>
        <w:tab/>
      </w:r>
      <w:r w:rsidRPr="003D0FEF">
        <w:t xml:space="preserve">Plans to offer an AMC-accredited medical </w:t>
      </w:r>
      <w:r>
        <w:t>program</w:t>
      </w:r>
      <w:r w:rsidRPr="003D0FEF">
        <w:t xml:space="preserve"> in a new setting </w:t>
      </w:r>
      <w:r>
        <w:t xml:space="preserve">are likely to </w:t>
      </w:r>
      <w:r w:rsidRPr="003D0FEF">
        <w:t xml:space="preserve">fit the AMC’s definition of a major </w:t>
      </w:r>
      <w:r>
        <w:t xml:space="preserve">program </w:t>
      </w:r>
      <w:r w:rsidRPr="003D0FEF">
        <w:t xml:space="preserve">change. </w:t>
      </w:r>
      <w:r>
        <w:t>Accredited medical education providers must prospectively inform t</w:t>
      </w:r>
      <w:r w:rsidRPr="003D0FEF">
        <w:t xml:space="preserve">he AMC of such developments through the regular </w:t>
      </w:r>
      <w:r>
        <w:t xml:space="preserve">monitoring </w:t>
      </w:r>
      <w:r w:rsidRPr="003D0FEF">
        <w:t xml:space="preserve">reports required of accredited </w:t>
      </w:r>
      <w:r>
        <w:t>education providers</w:t>
      </w:r>
      <w:r w:rsidRPr="003D0FEF">
        <w:t>.</w:t>
      </w:r>
      <w:r>
        <w:t xml:space="preserve"> </w:t>
      </w:r>
    </w:p>
    <w:p w14:paraId="47B065BA" w14:textId="77777777" w:rsidR="00C07DE7" w:rsidRPr="003D0FEF" w:rsidRDefault="00C07DE7" w:rsidP="005753B9">
      <w:pPr>
        <w:pStyle w:val="AMCBodyCopy"/>
        <w:spacing w:before="0" w:after="120"/>
        <w:ind w:left="567" w:hanging="567"/>
      </w:pPr>
      <w:r>
        <w:tab/>
        <w:t xml:space="preserve">If the new setting is in another country or countries, the AMC will regard the plan as </w:t>
      </w:r>
      <w:r w:rsidRPr="003D0FEF">
        <w:t xml:space="preserve">a major </w:t>
      </w:r>
      <w:r>
        <w:t xml:space="preserve">program </w:t>
      </w:r>
      <w:r w:rsidRPr="003D0FEF">
        <w:t>change</w:t>
      </w:r>
      <w:r>
        <w:t xml:space="preserve"> that will </w:t>
      </w:r>
      <w:r w:rsidRPr="003D0FEF">
        <w:t>require separate accreditation.</w:t>
      </w:r>
      <w:r>
        <w:t xml:space="preserve"> </w:t>
      </w:r>
      <w:r w:rsidRPr="003D0FEF">
        <w:t xml:space="preserve">Whilst </w:t>
      </w:r>
      <w:r>
        <w:t xml:space="preserve">curriculum </w:t>
      </w:r>
      <w:r w:rsidRPr="003D0FEF">
        <w:t xml:space="preserve">content and structure may be identical to that of the local </w:t>
      </w:r>
      <w:r>
        <w:t>program</w:t>
      </w:r>
      <w:r w:rsidRPr="003D0FEF">
        <w:t>, differences are likely in areas such as staffing and resources, governance and administration, student admission</w:t>
      </w:r>
      <w:r>
        <w:t>, and student</w:t>
      </w:r>
      <w:r w:rsidRPr="003D0FEF">
        <w:t xml:space="preserve"> services generally. There </w:t>
      </w:r>
      <w:r>
        <w:t xml:space="preserve">may </w:t>
      </w:r>
      <w:r w:rsidRPr="003D0FEF">
        <w:t>be important differences in the clinical training and experience.</w:t>
      </w:r>
      <w:r>
        <w:t xml:space="preserve"> </w:t>
      </w:r>
      <w:r w:rsidRPr="003D0FEF">
        <w:t xml:space="preserve">The development </w:t>
      </w:r>
      <w:r>
        <w:t xml:space="preserve">also </w:t>
      </w:r>
      <w:r w:rsidRPr="003D0FEF">
        <w:t xml:space="preserve">may have a significant effect on the resources available to the local (Australian or New Zealand based) </w:t>
      </w:r>
      <w:r>
        <w:t>program</w:t>
      </w:r>
      <w:r w:rsidRPr="003D0FEF">
        <w:t xml:space="preserve">: </w:t>
      </w:r>
    </w:p>
    <w:p w14:paraId="47B065BB" w14:textId="77777777" w:rsidR="00C07DE7" w:rsidRPr="003D0FEF" w:rsidRDefault="00C07DE7" w:rsidP="005753B9">
      <w:pPr>
        <w:pStyle w:val="AMCBodyCopy"/>
        <w:numPr>
          <w:ilvl w:val="0"/>
          <w:numId w:val="5"/>
        </w:numPr>
        <w:spacing w:before="0" w:after="120"/>
        <w:ind w:left="1134" w:hanging="567"/>
      </w:pPr>
      <w:r w:rsidRPr="003D0FEF">
        <w:t xml:space="preserve">by diverting staff time and/or resources from the existing medical </w:t>
      </w:r>
      <w:r>
        <w:t xml:space="preserve">program </w:t>
      </w:r>
    </w:p>
    <w:p w14:paraId="47B065BC" w14:textId="77777777" w:rsidR="00C07DE7" w:rsidRPr="003D0FEF" w:rsidRDefault="00C07DE7" w:rsidP="005753B9">
      <w:pPr>
        <w:pStyle w:val="AMCBodyCopy"/>
        <w:numPr>
          <w:ilvl w:val="0"/>
          <w:numId w:val="5"/>
        </w:numPr>
        <w:spacing w:before="0" w:after="120"/>
        <w:ind w:left="1134" w:hanging="567"/>
      </w:pPr>
      <w:r w:rsidRPr="003D0FEF">
        <w:t xml:space="preserve">by making additional resources available </w:t>
      </w:r>
    </w:p>
    <w:p w14:paraId="47B065BD" w14:textId="77777777" w:rsidR="00C07DE7" w:rsidRDefault="00C07DE7" w:rsidP="005753B9">
      <w:pPr>
        <w:pStyle w:val="AMCBodyCopy"/>
        <w:numPr>
          <w:ilvl w:val="0"/>
          <w:numId w:val="5"/>
        </w:numPr>
        <w:spacing w:before="0"/>
        <w:ind w:left="1134" w:hanging="567"/>
      </w:pPr>
      <w:proofErr w:type="gramStart"/>
      <w:r w:rsidRPr="003D0FEF">
        <w:t>by</w:t>
      </w:r>
      <w:proofErr w:type="gramEnd"/>
      <w:r w:rsidRPr="003D0FEF">
        <w:t xml:space="preserve"> the effect on the </w:t>
      </w:r>
      <w:r>
        <w:t>education provider’s governance</w:t>
      </w:r>
      <w:r w:rsidRPr="003D0FEF">
        <w:t>.</w:t>
      </w:r>
    </w:p>
    <w:p w14:paraId="47B065BE" w14:textId="77777777" w:rsidR="00C07DE7" w:rsidRPr="003D0FEF" w:rsidRDefault="00C07DE7" w:rsidP="00C07DE7">
      <w:pPr>
        <w:pStyle w:val="AMCBodyCopy"/>
        <w:ind w:left="567" w:hanging="567"/>
      </w:pPr>
      <w:r w:rsidRPr="003D0FEF">
        <w:t>3.</w:t>
      </w:r>
      <w:r>
        <w:t>5</w:t>
      </w:r>
      <w:r w:rsidRPr="003D0FEF">
        <w:tab/>
      </w:r>
      <w:r>
        <w:t xml:space="preserve">The AMC will consider changes to the offshore provision of a medical program against the accreditation standards through its usual accreditation procedures. It will also consider whether the proposed change continues to satisfy the requirements of section 4 of this policy. </w:t>
      </w:r>
    </w:p>
    <w:p w14:paraId="47B065BF" w14:textId="10FBC74C" w:rsidR="00C07DE7" w:rsidRPr="003D0FEF" w:rsidRDefault="00C07DE7" w:rsidP="00C07DE7">
      <w:pPr>
        <w:pStyle w:val="AMCBodyCopy"/>
        <w:ind w:left="567" w:hanging="567"/>
      </w:pPr>
      <w:r w:rsidRPr="003D0FEF">
        <w:t>3.</w:t>
      </w:r>
      <w:r>
        <w:t>6</w:t>
      </w:r>
      <w:r w:rsidRPr="003D0FEF">
        <w:tab/>
        <w:t xml:space="preserve">The AMC </w:t>
      </w:r>
      <w:r>
        <w:t xml:space="preserve">will </w:t>
      </w:r>
      <w:r w:rsidRPr="003D0FEF">
        <w:t xml:space="preserve">regard the dis-establishment of an offshore </w:t>
      </w:r>
      <w:r>
        <w:t xml:space="preserve">program </w:t>
      </w:r>
      <w:r w:rsidRPr="003D0FEF">
        <w:t xml:space="preserve">as a major change to </w:t>
      </w:r>
      <w:r>
        <w:t xml:space="preserve">the </w:t>
      </w:r>
      <w:r w:rsidRPr="003D0FEF">
        <w:t xml:space="preserve">AMC-accredited medical </w:t>
      </w:r>
      <w:r>
        <w:t>program</w:t>
      </w:r>
      <w:r w:rsidRPr="003D0FEF">
        <w:t xml:space="preserve">, since it would constitute a major change in the institutional setting and may affect available resources. </w:t>
      </w:r>
    </w:p>
    <w:p w14:paraId="52E57B14" w14:textId="77777777" w:rsidR="005E2175" w:rsidRPr="003D0FEF" w:rsidRDefault="005E2175" w:rsidP="00C07DE7">
      <w:pPr>
        <w:pStyle w:val="AMCBodyCopy"/>
      </w:pPr>
    </w:p>
    <w:p w14:paraId="47B065C1" w14:textId="77777777" w:rsidR="00C07DE7" w:rsidRPr="00C07DE7" w:rsidRDefault="00C07DE7" w:rsidP="00C07DE7">
      <w:pPr>
        <w:pStyle w:val="AMCBodyCopy"/>
        <w:rPr>
          <w:b/>
          <w:i/>
        </w:rPr>
      </w:pPr>
      <w:r w:rsidRPr="00C07DE7">
        <w:rPr>
          <w:b/>
          <w:i/>
        </w:rPr>
        <w:t>4</w:t>
      </w:r>
      <w:r w:rsidRPr="00C07DE7">
        <w:rPr>
          <w:b/>
          <w:i/>
        </w:rPr>
        <w:tab/>
        <w:t>Proposals that will be considered for assessment by the AMC</w:t>
      </w:r>
    </w:p>
    <w:p w14:paraId="47B065C2" w14:textId="010B559B" w:rsidR="00C07DE7" w:rsidRDefault="00C07DE7" w:rsidP="00C07DE7">
      <w:pPr>
        <w:pStyle w:val="AMCBodyCopy"/>
        <w:ind w:left="567" w:hanging="567"/>
      </w:pPr>
      <w:r w:rsidRPr="003D0FEF">
        <w:t>4.</w:t>
      </w:r>
      <w:r>
        <w:t>1</w:t>
      </w:r>
      <w:r w:rsidRPr="003D0FEF">
        <w:tab/>
        <w:t>The AMC recognises that there are many possible options for offering Australian/New Zealand higher education courses overseas (see 2.</w:t>
      </w:r>
      <w:r>
        <w:t>5</w:t>
      </w:r>
      <w:r w:rsidRPr="003D0FEF">
        <w:t xml:space="preserve">).  It will assess only proposals for </w:t>
      </w:r>
      <w:r>
        <w:t>medical programs</w:t>
      </w:r>
      <w:r w:rsidRPr="003D0FEF">
        <w:t>:</w:t>
      </w:r>
      <w:r w:rsidR="00355BC9">
        <w:rPr>
          <w:rStyle w:val="FootnoteReference"/>
        </w:rPr>
        <w:footnoteReference w:id="7"/>
      </w:r>
    </w:p>
    <w:p w14:paraId="47B065C3" w14:textId="77777777" w:rsidR="002E715A" w:rsidRDefault="00C07DE7" w:rsidP="00C07DE7">
      <w:pPr>
        <w:pStyle w:val="AMCBodyCopy"/>
        <w:ind w:left="1134" w:hanging="567"/>
      </w:pPr>
      <w:r w:rsidRPr="003D0FEF">
        <w:t>4.1.1</w:t>
      </w:r>
      <w:r w:rsidRPr="003D0FEF">
        <w:tab/>
      </w:r>
      <w:r>
        <w:t xml:space="preserve">That </w:t>
      </w:r>
      <w:r w:rsidR="002E715A">
        <w:t xml:space="preserve">fit with the purpose of AMC accreditation, namely </w:t>
      </w:r>
      <w:r w:rsidR="002E715A" w:rsidRPr="003D0FEF">
        <w:t>produc</w:t>
      </w:r>
      <w:r w:rsidR="002E715A">
        <w:t>ing</w:t>
      </w:r>
      <w:r w:rsidR="002E715A" w:rsidRPr="003D0FEF">
        <w:t xml:space="preserve"> graduates competent to practise safely and effectively under supervision as interns in Australia and New Zealand, and with an appropriate foundation for lifelong learning and for further training in any branch of medicine</w:t>
      </w:r>
      <w:r w:rsidR="00B80D21">
        <w:t>, and</w:t>
      </w:r>
    </w:p>
    <w:p w14:paraId="47B065C4" w14:textId="2619672F" w:rsidR="00C07DE7" w:rsidRPr="003D0FEF" w:rsidRDefault="002E715A" w:rsidP="00C07DE7">
      <w:pPr>
        <w:pStyle w:val="AMCBodyCopy"/>
        <w:ind w:left="1134" w:hanging="567"/>
      </w:pPr>
      <w:r>
        <w:t>4.1.2</w:t>
      </w:r>
      <w:r>
        <w:tab/>
        <w:t xml:space="preserve">That </w:t>
      </w:r>
      <w:r w:rsidR="00C07DE7">
        <w:t xml:space="preserve">are </w:t>
      </w:r>
      <w:r w:rsidR="00C07DE7" w:rsidRPr="00A869AA">
        <w:t xml:space="preserve">located in an Australian or New Zealand higher education </w:t>
      </w:r>
      <w:r>
        <w:t>provider</w:t>
      </w:r>
      <w:r w:rsidR="00C07DE7" w:rsidRPr="00A869AA">
        <w:t>, where the Australian</w:t>
      </w:r>
      <w:r w:rsidR="00583E33">
        <w:t xml:space="preserve"> or </w:t>
      </w:r>
      <w:r w:rsidR="00C07DE7" w:rsidRPr="00A869AA">
        <w:t xml:space="preserve">New Zealand </w:t>
      </w:r>
      <w:r>
        <w:t xml:space="preserve">provider </w:t>
      </w:r>
      <w:r w:rsidR="00C07DE7" w:rsidRPr="00A869AA">
        <w:t>has developed the program and has a responsibility for the academic standards, and</w:t>
      </w:r>
      <w:r w:rsidR="00C07DE7" w:rsidRPr="00A869AA" w:rsidDel="00A869AA">
        <w:t xml:space="preserve"> </w:t>
      </w:r>
    </w:p>
    <w:p w14:paraId="47B065C5" w14:textId="77777777" w:rsidR="00C07DE7" w:rsidRPr="003D0FEF" w:rsidRDefault="00C07DE7" w:rsidP="00C07DE7">
      <w:pPr>
        <w:pStyle w:val="AMCBodyCopy"/>
        <w:ind w:left="1134" w:hanging="567"/>
      </w:pPr>
      <w:r w:rsidRPr="003D0FEF">
        <w:lastRenderedPageBreak/>
        <w:t>4.1.</w:t>
      </w:r>
      <w:r w:rsidR="002E715A">
        <w:t>3</w:t>
      </w:r>
      <w:r w:rsidRPr="003D0FEF">
        <w:tab/>
        <w:t xml:space="preserve">That result in the award of a recognised higher education qualification of the Australian or New Zealand higher education </w:t>
      </w:r>
      <w:r w:rsidR="002E715A">
        <w:t xml:space="preserve">provider </w:t>
      </w:r>
      <w:r w:rsidRPr="00EE1FC0">
        <w:rPr>
          <w:b/>
          <w:color w:val="FF0000"/>
        </w:rPr>
        <w:t>which may lead to registration to practise medicine in Australia and New Zealand</w:t>
      </w:r>
      <w:r w:rsidRPr="003D0FEF">
        <w:t xml:space="preserve">, and </w:t>
      </w:r>
    </w:p>
    <w:p w14:paraId="47B065C6" w14:textId="77777777" w:rsidR="00C07DE7" w:rsidRPr="003D0FEF" w:rsidRDefault="00C07DE7" w:rsidP="00C07DE7">
      <w:pPr>
        <w:pStyle w:val="AMCBodyCopy"/>
        <w:ind w:left="1134" w:hanging="567"/>
      </w:pPr>
      <w:r w:rsidRPr="003D0FEF">
        <w:t>4.1.</w:t>
      </w:r>
      <w:r w:rsidR="002E715A">
        <w:t>4</w:t>
      </w:r>
      <w:r w:rsidRPr="003D0FEF">
        <w:tab/>
        <w:t xml:space="preserve">That are essentially the same as the </w:t>
      </w:r>
      <w:r>
        <w:t xml:space="preserve">program </w:t>
      </w:r>
      <w:r w:rsidRPr="003D0FEF">
        <w:t xml:space="preserve">accredited by the AMC for delivery in Australia or New Zealand, in terms of </w:t>
      </w:r>
      <w:r w:rsidRPr="00EE1FC0">
        <w:rPr>
          <w:b/>
          <w:color w:val="FF0000"/>
        </w:rPr>
        <w:t>learning outcomes</w:t>
      </w:r>
      <w:r w:rsidRPr="00C169AF">
        <w:rPr>
          <w:b/>
        </w:rPr>
        <w:t>,</w:t>
      </w:r>
      <w:r>
        <w:t xml:space="preserve"> </w:t>
      </w:r>
      <w:r w:rsidRPr="00505F17">
        <w:rPr>
          <w:strike/>
        </w:rPr>
        <w:t>educational objectives</w:t>
      </w:r>
      <w:r w:rsidRPr="003D0FEF">
        <w:t>, curriculum</w:t>
      </w:r>
      <w:r>
        <w:t xml:space="preserve"> </w:t>
      </w:r>
      <w:r w:rsidRPr="00505F17">
        <w:rPr>
          <w:strike/>
        </w:rPr>
        <w:t>framework</w:t>
      </w:r>
      <w:r w:rsidRPr="003D0FEF">
        <w:t>, educational process</w:t>
      </w:r>
      <w:r>
        <w:t>,</w:t>
      </w:r>
      <w:r w:rsidRPr="003D0FEF">
        <w:t xml:space="preserve"> and assessment outcomes, and</w:t>
      </w:r>
    </w:p>
    <w:p w14:paraId="47B065C7" w14:textId="32F086E6" w:rsidR="00C07DE7" w:rsidRPr="008A2AF8" w:rsidRDefault="00C07DE7" w:rsidP="00C07DE7">
      <w:pPr>
        <w:pStyle w:val="AMCBodyCopy"/>
        <w:ind w:left="1134" w:hanging="567"/>
        <w:rPr>
          <w:b/>
          <w:i/>
        </w:rPr>
      </w:pPr>
      <w:r w:rsidRPr="003D0FEF">
        <w:t>4.1.</w:t>
      </w:r>
      <w:r w:rsidR="002E715A">
        <w:t>5</w:t>
      </w:r>
      <w:r w:rsidRPr="003D0FEF">
        <w:tab/>
        <w:t xml:space="preserve">That include adequate experience </w:t>
      </w:r>
      <w:r w:rsidR="00E863C5" w:rsidRPr="00916E8C">
        <w:rPr>
          <w:b/>
          <w:color w:val="FF0000"/>
        </w:rPr>
        <w:t>in a variety of clinical settings</w:t>
      </w:r>
      <w:r w:rsidR="00E863C5" w:rsidRPr="00916E8C">
        <w:rPr>
          <w:color w:val="FF0000"/>
        </w:rPr>
        <w:t xml:space="preserve"> </w:t>
      </w:r>
      <w:r w:rsidRPr="003D0FEF">
        <w:t xml:space="preserve">within the </w:t>
      </w:r>
      <w:r w:rsidR="005132D6" w:rsidRPr="003D0FEF">
        <w:t>Australian</w:t>
      </w:r>
      <w:r w:rsidR="005132D6">
        <w:t xml:space="preserve"> or </w:t>
      </w:r>
      <w:r w:rsidRPr="003D0FEF">
        <w:t>New Zealand health care system</w:t>
      </w:r>
      <w:r>
        <w:t xml:space="preserve"> </w:t>
      </w:r>
      <w:r w:rsidRPr="00EE1FC0">
        <w:rPr>
          <w:b/>
          <w:color w:val="FF0000"/>
        </w:rPr>
        <w:t>so that graduates meet the AMC’s Graduate Outcome Statements as outlined in the</w:t>
      </w:r>
      <w:r w:rsidRPr="00EE1FC0">
        <w:rPr>
          <w:b/>
          <w:i/>
          <w:color w:val="FF0000"/>
        </w:rPr>
        <w:t xml:space="preserve"> Standards for Assessment and Accreditation of Primary Medical Programs by the Australian Medical Council</w:t>
      </w:r>
      <w:r w:rsidRPr="002E715A">
        <w:rPr>
          <w:b/>
          <w:i/>
          <w:color w:val="FF0000"/>
        </w:rPr>
        <w:t>.</w:t>
      </w:r>
    </w:p>
    <w:p w14:paraId="47B065C8" w14:textId="77777777" w:rsidR="00C07DE7" w:rsidRPr="003D0FEF" w:rsidRDefault="00C07DE7" w:rsidP="00C07DE7">
      <w:pPr>
        <w:pStyle w:val="AMCBodyCopy"/>
      </w:pPr>
    </w:p>
    <w:p w14:paraId="47B065C9" w14:textId="77777777" w:rsidR="00C07DE7" w:rsidRPr="00C07DE7" w:rsidRDefault="00C07DE7" w:rsidP="00C07DE7">
      <w:pPr>
        <w:pStyle w:val="AMCBodyCopy"/>
        <w:ind w:left="567" w:hanging="567"/>
        <w:rPr>
          <w:b/>
          <w:i/>
        </w:rPr>
      </w:pPr>
      <w:r w:rsidRPr="00C07DE7">
        <w:rPr>
          <w:b/>
          <w:i/>
        </w:rPr>
        <w:t>5</w:t>
      </w:r>
      <w:r w:rsidRPr="00C07DE7">
        <w:rPr>
          <w:b/>
          <w:i/>
        </w:rPr>
        <w:tab/>
        <w:t>Applying the AMC accreditation process to the assessment of a proposal to offer an Australian or New Zealand medical program in another or other countries</w:t>
      </w:r>
    </w:p>
    <w:p w14:paraId="47B065CA" w14:textId="77777777" w:rsidR="00C07DE7" w:rsidRPr="003D0FEF" w:rsidRDefault="00C07DE7" w:rsidP="00C07DE7">
      <w:pPr>
        <w:pStyle w:val="AMCBodyCopy"/>
      </w:pPr>
      <w:r w:rsidRPr="003D0FEF">
        <w:t>5.1</w:t>
      </w:r>
      <w:r w:rsidRPr="003D0FEF">
        <w:tab/>
      </w:r>
      <w:r w:rsidRPr="00C07DE7">
        <w:rPr>
          <w:u w:val="single"/>
        </w:rPr>
        <w:t>General requirements</w:t>
      </w:r>
    </w:p>
    <w:p w14:paraId="47B065CB" w14:textId="370A66F0" w:rsidR="00C07DE7" w:rsidRDefault="00C07DE7" w:rsidP="007B54D1">
      <w:pPr>
        <w:pStyle w:val="AMCBodyCopy"/>
        <w:ind w:left="567" w:hanging="567"/>
      </w:pPr>
      <w:r w:rsidRPr="003D0FEF">
        <w:t>5.1.</w:t>
      </w:r>
      <w:r>
        <w:t>1</w:t>
      </w:r>
      <w:r w:rsidRPr="003D0FEF">
        <w:tab/>
      </w:r>
      <w:r>
        <w:t xml:space="preserve">The AMC will follow the </w:t>
      </w:r>
      <w:r w:rsidRPr="00305E03">
        <w:rPr>
          <w:i/>
        </w:rPr>
        <w:t xml:space="preserve">Procedures for Assessment and Accreditation of </w:t>
      </w:r>
      <w:r>
        <w:rPr>
          <w:i/>
        </w:rPr>
        <w:t xml:space="preserve">Primary Medical Programs </w:t>
      </w:r>
      <w:r w:rsidRPr="00305E03">
        <w:rPr>
          <w:i/>
        </w:rPr>
        <w:t>by the Australian Medical Council</w:t>
      </w:r>
      <w:r>
        <w:t xml:space="preserve"> (</w:t>
      </w:r>
      <w:r w:rsidR="00916E8C">
        <w:t>S</w:t>
      </w:r>
      <w:r>
        <w:t>ection 3</w:t>
      </w:r>
      <w:r w:rsidR="00E35C9D">
        <w:t xml:space="preserve"> The administration of the assessment process</w:t>
      </w:r>
      <w:r>
        <w:t xml:space="preserve">) in assessing the offshore proposal. </w:t>
      </w:r>
      <w:r w:rsidR="00E35C9D">
        <w:t xml:space="preserve">This section of the offshore provision policy </w:t>
      </w:r>
      <w:r>
        <w:t>provides guidance on the additional requirements that apply to the assessment of an offshore program proposal with reference to the relevant areas of the AMC procedures.</w:t>
      </w:r>
    </w:p>
    <w:p w14:paraId="47B065CC" w14:textId="77777777" w:rsidR="00C07DE7" w:rsidRDefault="00C07DE7" w:rsidP="007B54D1">
      <w:pPr>
        <w:pStyle w:val="AMCBodyCopy"/>
        <w:ind w:left="567" w:hanging="567"/>
      </w:pPr>
      <w:r w:rsidRPr="003D0FEF">
        <w:t>5.1.</w:t>
      </w:r>
      <w:r>
        <w:t>2</w:t>
      </w:r>
      <w:r w:rsidRPr="003D0FEF">
        <w:tab/>
        <w:t xml:space="preserve">The Medical School Accreditation Committee sets a forward program for assessments </w:t>
      </w:r>
      <w:r>
        <w:t xml:space="preserve">eighteen months </w:t>
      </w:r>
      <w:r w:rsidRPr="003D0FEF">
        <w:t xml:space="preserve">in advance. </w:t>
      </w:r>
      <w:r>
        <w:t xml:space="preserve">Education providers proposing offshore provision of their medical program </w:t>
      </w:r>
      <w:r w:rsidRPr="003D0FEF">
        <w:t xml:space="preserve">need to provide adequate notice of their intentions.  This would normally require the AMC to receive a notice of intention at least </w:t>
      </w:r>
      <w:r>
        <w:t xml:space="preserve">24 </w:t>
      </w:r>
      <w:r w:rsidRPr="003D0FEF">
        <w:t xml:space="preserve">months in advance of intended offering of the </w:t>
      </w:r>
      <w:r>
        <w:t>program offshore</w:t>
      </w:r>
      <w:r w:rsidRPr="003D0FEF">
        <w:t xml:space="preserve">.   </w:t>
      </w:r>
    </w:p>
    <w:p w14:paraId="47B065CD" w14:textId="735AEC26" w:rsidR="00C07DE7" w:rsidRPr="003D0FEF" w:rsidRDefault="00C07DE7" w:rsidP="007B54D1">
      <w:pPr>
        <w:pStyle w:val="AMCBodyCopy"/>
        <w:ind w:left="567" w:hanging="567"/>
      </w:pPr>
      <w:r w:rsidRPr="003D0FEF">
        <w:t>5.1.</w:t>
      </w:r>
      <w:r>
        <w:t>3</w:t>
      </w:r>
      <w:r w:rsidRPr="003D0FEF">
        <w:tab/>
      </w:r>
      <w:r>
        <w:t>Accreditation assessments of offshore programs will entail site visit</w:t>
      </w:r>
      <w:r w:rsidR="00204D2C">
        <w:t>s</w:t>
      </w:r>
      <w:r>
        <w:t xml:space="preserve"> by an AMC team. </w:t>
      </w:r>
    </w:p>
    <w:p w14:paraId="47B065CE" w14:textId="75DB0C46" w:rsidR="00C07DE7" w:rsidRPr="003D0FEF" w:rsidRDefault="00C07DE7" w:rsidP="007B54D1">
      <w:pPr>
        <w:pStyle w:val="AMCBodyCopy"/>
        <w:ind w:left="567" w:hanging="567"/>
      </w:pPr>
      <w:r w:rsidRPr="003D0FEF">
        <w:t>5.1.</w:t>
      </w:r>
      <w:r>
        <w:t>4</w:t>
      </w:r>
      <w:r w:rsidRPr="003D0FEF">
        <w:tab/>
        <w:t>The AMC’s assess</w:t>
      </w:r>
      <w:r>
        <w:t xml:space="preserve">ment of a proposal for offshore provision </w:t>
      </w:r>
      <w:r w:rsidRPr="003D0FEF">
        <w:t xml:space="preserve">of a medical </w:t>
      </w:r>
      <w:r>
        <w:t xml:space="preserve">program </w:t>
      </w:r>
      <w:r w:rsidRPr="003D0FEF">
        <w:t xml:space="preserve">will </w:t>
      </w:r>
      <w:r w:rsidR="00204D2C">
        <w:t>incur more time and cost,</w:t>
      </w:r>
      <w:r w:rsidRPr="003D0FEF">
        <w:t xml:space="preserve"> in view of the additional procedural requirements and travel.  </w:t>
      </w:r>
      <w:r>
        <w:t xml:space="preserve">The education provider whose program is </w:t>
      </w:r>
      <w:r w:rsidRPr="003D0FEF">
        <w:t>being assessed will be charged the costs of the AMC assessment</w:t>
      </w:r>
      <w:r>
        <w:t xml:space="preserve"> in line with AMC policy on fees and charges (see AMC Procedures </w:t>
      </w:r>
      <w:r w:rsidR="00916E8C">
        <w:t>S</w:t>
      </w:r>
      <w:r>
        <w:t>ection 2.11</w:t>
      </w:r>
      <w:r w:rsidR="00916E8C">
        <w:t xml:space="preserve"> Fees and Charges</w:t>
      </w:r>
      <w:r>
        <w:t>)</w:t>
      </w:r>
      <w:r w:rsidR="0064638D">
        <w:t>.</w:t>
      </w:r>
    </w:p>
    <w:p w14:paraId="47B065CF" w14:textId="6F72DC1A" w:rsidR="00C07DE7" w:rsidRPr="003D0FEF" w:rsidRDefault="00C07DE7" w:rsidP="007B54D1">
      <w:pPr>
        <w:pStyle w:val="AMCBodyCopy"/>
        <w:ind w:left="567" w:hanging="567"/>
      </w:pPr>
      <w:r w:rsidRPr="003D0FEF">
        <w:t>5.1.5</w:t>
      </w:r>
      <w:r w:rsidRPr="003D0FEF">
        <w:tab/>
        <w:t xml:space="preserve">Where the AMC needs to establish </w:t>
      </w:r>
      <w:r w:rsidR="00204D2C">
        <w:t xml:space="preserve">an </w:t>
      </w:r>
      <w:r w:rsidRPr="003D0FEF">
        <w:t xml:space="preserve">order for assessments, it will give priority to the assessment of </w:t>
      </w:r>
      <w:r>
        <w:t xml:space="preserve">programs offered in Australia or New Zealand </w:t>
      </w:r>
      <w:r w:rsidRPr="003D0FEF">
        <w:t xml:space="preserve">over the assessment of a </w:t>
      </w:r>
      <w:r>
        <w:t xml:space="preserve">proposal </w:t>
      </w:r>
      <w:r w:rsidRPr="003D0FEF">
        <w:t xml:space="preserve">that involves </w:t>
      </w:r>
      <w:r w:rsidR="00204D2C">
        <w:t xml:space="preserve">an </w:t>
      </w:r>
      <w:r w:rsidRPr="003D0FEF">
        <w:t>offshore</w:t>
      </w:r>
      <w:r>
        <w:t xml:space="preserve"> provision</w:t>
      </w:r>
      <w:r w:rsidRPr="003D0FEF">
        <w:t>.</w:t>
      </w:r>
    </w:p>
    <w:p w14:paraId="47B065D0" w14:textId="3661342E" w:rsidR="00C07DE7" w:rsidRPr="003D0FEF" w:rsidRDefault="00C07DE7" w:rsidP="007B54D1">
      <w:pPr>
        <w:pStyle w:val="AMCBodyCopy"/>
        <w:ind w:left="567" w:hanging="567"/>
      </w:pPr>
      <w:r w:rsidRPr="003D0FEF">
        <w:t>5.1.</w:t>
      </w:r>
      <w:r>
        <w:t>6</w:t>
      </w:r>
      <w:r w:rsidRPr="003D0FEF">
        <w:tab/>
        <w:t xml:space="preserve">The AMC has prepared separate </w:t>
      </w:r>
      <w:r>
        <w:t xml:space="preserve">guides to </w:t>
      </w:r>
      <w:r w:rsidRPr="003D0FEF">
        <w:t xml:space="preserve">the </w:t>
      </w:r>
      <w:r>
        <w:t xml:space="preserve">submissions </w:t>
      </w:r>
      <w:r w:rsidRPr="003D0FEF">
        <w:t xml:space="preserve">required of </w:t>
      </w:r>
      <w:r>
        <w:t>education providers</w:t>
      </w:r>
      <w:r w:rsidRPr="003D0FEF">
        <w:t xml:space="preserve"> seeking assessment of a proposal for offshore </w:t>
      </w:r>
      <w:r>
        <w:t>provision of a medical program, covering both the Stage 1 submission and the Stage 2 submission</w:t>
      </w:r>
      <w:r w:rsidRPr="003D0FEF">
        <w:rPr>
          <w:rStyle w:val="FootnoteReference"/>
        </w:rPr>
        <w:footnoteReference w:id="8"/>
      </w:r>
      <w:r w:rsidRPr="003D0FEF">
        <w:t xml:space="preserve">. </w:t>
      </w:r>
    </w:p>
    <w:p w14:paraId="47B065D2" w14:textId="77777777" w:rsidR="00C07DE7" w:rsidRPr="00305E03" w:rsidRDefault="00C07DE7" w:rsidP="00C07DE7">
      <w:pPr>
        <w:pStyle w:val="AMCBodyCopy"/>
      </w:pPr>
      <w:r w:rsidRPr="00305E03">
        <w:lastRenderedPageBreak/>
        <w:t>5.2</w:t>
      </w:r>
      <w:r w:rsidRPr="00305E03">
        <w:tab/>
      </w:r>
      <w:r w:rsidRPr="00C07DE7">
        <w:rPr>
          <w:u w:val="single"/>
        </w:rPr>
        <w:t>AMC consideration of Stage 1 submission: additional requirements</w:t>
      </w:r>
      <w:r w:rsidRPr="00305E03">
        <w:t xml:space="preserve"> </w:t>
      </w:r>
    </w:p>
    <w:p w14:paraId="47B065D3" w14:textId="5A4B7A34" w:rsidR="00C07DE7" w:rsidRPr="007B54D1" w:rsidRDefault="00C07DE7" w:rsidP="007B54D1">
      <w:pPr>
        <w:pStyle w:val="AMCBodyCopy"/>
        <w:ind w:left="567" w:hanging="567"/>
      </w:pPr>
      <w:r w:rsidRPr="007B54D1">
        <w:t>5.2.1</w:t>
      </w:r>
      <w:r w:rsidRPr="007B54D1">
        <w:tab/>
        <w:t xml:space="preserve">The </w:t>
      </w:r>
      <w:r w:rsidR="002E715A">
        <w:t xml:space="preserve">higher education provider </w:t>
      </w:r>
      <w:r w:rsidRPr="007B54D1">
        <w:t>provides a Stage 1 submission to the Medical School Accreditation Committee outlining its plans at least twenty months before the program is to be offered. In addition to the usual requirements of a Stage 1 submission, the submission for offshore provision of a medical program must list any partner organisations or financial supporters, describe the relationships and provide evidence of support from them. Relationships with relevant government authorities in the overseas country, including any requirements for accreditation in the overseas country</w:t>
      </w:r>
      <w:r w:rsidR="004E7A98">
        <w:t>,</w:t>
      </w:r>
      <w:r w:rsidRPr="007B54D1">
        <w:t xml:space="preserve"> should also be described. </w:t>
      </w:r>
    </w:p>
    <w:p w14:paraId="47B065D4" w14:textId="629FAD89" w:rsidR="00C07DE7" w:rsidRPr="007B54D1" w:rsidRDefault="00C07DE7" w:rsidP="007B54D1">
      <w:pPr>
        <w:pStyle w:val="AMCBodyCopy"/>
        <w:ind w:left="567" w:hanging="567"/>
      </w:pPr>
      <w:r w:rsidRPr="007B54D1">
        <w:t>5.2.2</w:t>
      </w:r>
      <w:r w:rsidRPr="007B54D1">
        <w:tab/>
        <w:t xml:space="preserve">The Medical School Accreditation Committee will consider the submission against the approved accreditation standards and advise the </w:t>
      </w:r>
      <w:r w:rsidR="0064638D">
        <w:t xml:space="preserve">AMC </w:t>
      </w:r>
      <w:r w:rsidRPr="007B54D1">
        <w:t>Directors on whether the AMC should assess the proposed development for accreditation purposes, taking account of:</w:t>
      </w:r>
    </w:p>
    <w:p w14:paraId="47B065D5" w14:textId="1C9BF36F" w:rsidR="00C07DE7" w:rsidRPr="003D0FEF" w:rsidRDefault="00C07DE7" w:rsidP="00522018">
      <w:pPr>
        <w:pStyle w:val="AMCBodyCopy"/>
        <w:numPr>
          <w:ilvl w:val="0"/>
          <w:numId w:val="6"/>
        </w:numPr>
        <w:ind w:left="1134" w:hanging="567"/>
      </w:pPr>
      <w:r w:rsidRPr="003D0FEF">
        <w:t>The range of proposals that the AMC will assess, as stated in 4; and</w:t>
      </w:r>
    </w:p>
    <w:p w14:paraId="47B065D6" w14:textId="77777777" w:rsidR="00C07DE7" w:rsidRPr="003D0FEF" w:rsidRDefault="00C07DE7" w:rsidP="00522018">
      <w:pPr>
        <w:pStyle w:val="AMCBodyCopy"/>
        <w:numPr>
          <w:ilvl w:val="0"/>
          <w:numId w:val="6"/>
        </w:numPr>
        <w:ind w:left="1134" w:hanging="567"/>
      </w:pPr>
      <w:r w:rsidRPr="003D0FEF">
        <w:t xml:space="preserve">The stage of development of the </w:t>
      </w:r>
      <w:r>
        <w:t xml:space="preserve">education provider’s </w:t>
      </w:r>
      <w:r w:rsidRPr="003D0FEF">
        <w:t>plans.</w:t>
      </w:r>
    </w:p>
    <w:p w14:paraId="47B065D7" w14:textId="77777777" w:rsidR="00C07DE7" w:rsidRPr="007B54D1" w:rsidRDefault="00C07DE7" w:rsidP="007B54D1">
      <w:pPr>
        <w:pStyle w:val="AMCBodyCopy"/>
        <w:ind w:left="567" w:hanging="567"/>
      </w:pPr>
      <w:r w:rsidRPr="007B54D1">
        <w:t>5.2.3</w:t>
      </w:r>
      <w:r w:rsidRPr="007B54D1">
        <w:tab/>
        <w:t xml:space="preserve">Where all details have not yet been developed, the education provider’s submission should indicate how and when further development will be undertaken. </w:t>
      </w:r>
    </w:p>
    <w:p w14:paraId="47B065D8" w14:textId="22D14254" w:rsidR="00C07DE7" w:rsidRPr="007B54D1" w:rsidRDefault="00C07DE7" w:rsidP="007B54D1">
      <w:pPr>
        <w:pStyle w:val="AMCBodyCopy"/>
        <w:ind w:left="567" w:hanging="567"/>
      </w:pPr>
      <w:r w:rsidRPr="007B54D1">
        <w:t>5.2.4</w:t>
      </w:r>
      <w:r w:rsidRPr="007B54D1">
        <w:tab/>
        <w:t xml:space="preserve">Guidance on additional matters the AMC will consider is provided in ATTACHMENT 1.  </w:t>
      </w:r>
    </w:p>
    <w:p w14:paraId="47B065D9" w14:textId="1188A9B8" w:rsidR="00C07DE7" w:rsidRPr="007B54D1" w:rsidRDefault="00C07DE7" w:rsidP="007B54D1">
      <w:pPr>
        <w:pStyle w:val="AMCBodyCopy"/>
        <w:ind w:left="567" w:hanging="567"/>
      </w:pPr>
      <w:r w:rsidRPr="007B54D1">
        <w:t>5.2.5</w:t>
      </w:r>
      <w:r w:rsidRPr="007B54D1">
        <w:tab/>
        <w:t>The outcome of th</w:t>
      </w:r>
      <w:r w:rsidR="00E35C9D">
        <w:t xml:space="preserve">e Stage 1 </w:t>
      </w:r>
      <w:r w:rsidRPr="007B54D1">
        <w:t xml:space="preserve">assessment </w:t>
      </w:r>
      <w:r w:rsidR="00F133E1">
        <w:t xml:space="preserve">of a proposal for offshore provision of a medical program </w:t>
      </w:r>
      <w:r w:rsidRPr="007B54D1">
        <w:t>will be one of the following decisions by the AMC:</w:t>
      </w:r>
    </w:p>
    <w:p w14:paraId="47B065DA" w14:textId="27F09311" w:rsidR="00C07DE7" w:rsidRPr="003D0FEF" w:rsidRDefault="005132D6" w:rsidP="00522018">
      <w:pPr>
        <w:pStyle w:val="AMCBodyCopy"/>
        <w:numPr>
          <w:ilvl w:val="0"/>
          <w:numId w:val="7"/>
        </w:numPr>
        <w:ind w:left="1134" w:hanging="567"/>
      </w:pPr>
      <w:r>
        <w:t>That</w:t>
      </w:r>
      <w:r w:rsidR="00C07DE7" w:rsidRPr="003D0FEF">
        <w:t xml:space="preserve"> the AMC will assess the propos</w:t>
      </w:r>
      <w:r w:rsidR="00C07DE7">
        <w:t xml:space="preserve">al </w:t>
      </w:r>
      <w:r w:rsidR="00C07DE7" w:rsidRPr="003D0FEF">
        <w:t>for accreditation purposes</w:t>
      </w:r>
      <w:r w:rsidR="00C07DE7">
        <w:t>. In this case</w:t>
      </w:r>
      <w:r w:rsidR="006F1C9C">
        <w:t>,</w:t>
      </w:r>
      <w:r w:rsidR="00C07DE7">
        <w:t xml:space="preserve"> the AMC invites a Stage 2 accreditation submission</w:t>
      </w:r>
      <w:r w:rsidR="00C07DE7" w:rsidRPr="003D0FEF">
        <w:t xml:space="preserve">.  </w:t>
      </w:r>
    </w:p>
    <w:p w14:paraId="47B065DB" w14:textId="1F6DB18F" w:rsidR="00C07DE7" w:rsidRDefault="005132D6" w:rsidP="00522018">
      <w:pPr>
        <w:pStyle w:val="AMCBodyCopy"/>
        <w:numPr>
          <w:ilvl w:val="0"/>
          <w:numId w:val="7"/>
        </w:numPr>
        <w:ind w:left="1134" w:hanging="567"/>
      </w:pPr>
      <w:r>
        <w:t>That</w:t>
      </w:r>
      <w:r w:rsidR="00C07DE7" w:rsidRPr="003D0FEF">
        <w:t xml:space="preserve"> </w:t>
      </w:r>
      <w:r w:rsidR="00C07DE7">
        <w:t>on the basis of the Stage 1 submission</w:t>
      </w:r>
      <w:r>
        <w:t>,</w:t>
      </w:r>
      <w:r w:rsidR="00C07DE7">
        <w:t xml:space="preserve"> </w:t>
      </w:r>
      <w:r>
        <w:t>t</w:t>
      </w:r>
      <w:r w:rsidR="00C07DE7" w:rsidRPr="003D0FEF">
        <w:t xml:space="preserve">he proposal does not satisfy </w:t>
      </w:r>
      <w:r w:rsidR="00C07DE7">
        <w:t xml:space="preserve">the approved accreditation </w:t>
      </w:r>
      <w:r w:rsidR="00C07DE7" w:rsidRPr="003D0FEF">
        <w:t xml:space="preserve">standards and/or fit within the range of proposals the AMC has </w:t>
      </w:r>
      <w:r w:rsidR="00C07DE7">
        <w:t>determined</w:t>
      </w:r>
      <w:r w:rsidR="00C07DE7" w:rsidRPr="003D0FEF">
        <w:t xml:space="preserve"> to assess (see 4.1)</w:t>
      </w:r>
      <w:r w:rsidR="00C07DE7">
        <w:t xml:space="preserve"> and</w:t>
      </w:r>
      <w:r w:rsidR="00C07DE7" w:rsidRPr="003D0FEF">
        <w:t xml:space="preserve"> the AMC will not assess the proposed development for accreditation purposes. </w:t>
      </w:r>
    </w:p>
    <w:p w14:paraId="5CE4DA47" w14:textId="77777777" w:rsidR="007E29F0" w:rsidRDefault="009B39D5" w:rsidP="007E29F0">
      <w:pPr>
        <w:pStyle w:val="AMCBodyCopy"/>
        <w:ind w:left="567" w:hanging="567"/>
      </w:pPr>
      <w:r>
        <w:t>5.2.6</w:t>
      </w:r>
      <w:r w:rsidR="008C542E">
        <w:tab/>
      </w:r>
      <w:r w:rsidR="00C07DE7" w:rsidRPr="007B54D1">
        <w:t>In the event that the education provider already has an AMC-accredited medical program,</w:t>
      </w:r>
      <w:r w:rsidR="005132D6">
        <w:t xml:space="preserve"> </w:t>
      </w:r>
      <w:r w:rsidR="00C07DE7" w:rsidRPr="007B54D1">
        <w:t>if the provider proceeds with plans to offer a separate program offshore</w:t>
      </w:r>
      <w:r w:rsidR="00C07DE7" w:rsidRPr="009B39D5">
        <w:rPr>
          <w:rStyle w:val="FootnoteReference"/>
        </w:rPr>
        <w:footnoteReference w:id="9"/>
      </w:r>
      <w:r w:rsidR="00C07DE7" w:rsidRPr="007B54D1">
        <w:t>,  the AMC will take account of the effect of the offshore development on the accreditation of the Australian/New Zealand program (see also 1.4, 3.3 and 5.4.2).</w:t>
      </w:r>
    </w:p>
    <w:p w14:paraId="47B065DE" w14:textId="5296C3B6" w:rsidR="00C07DE7" w:rsidRPr="007E29F0" w:rsidRDefault="00C07DE7" w:rsidP="007E29F0">
      <w:pPr>
        <w:pStyle w:val="AMCBodyCopy"/>
        <w:keepNext/>
      </w:pPr>
      <w:r w:rsidRPr="003D0FEF">
        <w:lastRenderedPageBreak/>
        <w:t>5.3</w:t>
      </w:r>
      <w:r w:rsidRPr="003D0FEF">
        <w:rPr>
          <w:i/>
        </w:rPr>
        <w:tab/>
      </w:r>
      <w:r w:rsidRPr="00C07DE7">
        <w:rPr>
          <w:u w:val="single"/>
        </w:rPr>
        <w:t>AMC assessment of Stage 2 submission – additional requirements</w:t>
      </w:r>
    </w:p>
    <w:p w14:paraId="312DFAB2" w14:textId="62891A9E" w:rsidR="0002195E" w:rsidRDefault="00C07DE7" w:rsidP="007E29F0">
      <w:pPr>
        <w:pStyle w:val="AMCBodyCopy"/>
        <w:keepNext/>
        <w:keepLines/>
        <w:ind w:left="567" w:hanging="567"/>
      </w:pPr>
      <w:r w:rsidRPr="003D0FEF">
        <w:t>5.3.</w:t>
      </w:r>
      <w:r>
        <w:t>1</w:t>
      </w:r>
      <w:r w:rsidRPr="003D0FEF">
        <w:tab/>
        <w:t xml:space="preserve">The </w:t>
      </w:r>
      <w:r>
        <w:t xml:space="preserve">Stage 2 </w:t>
      </w:r>
      <w:r w:rsidRPr="003D0FEF">
        <w:t xml:space="preserve">accreditation submission should be submitted sufficiently in advance of student selection and </w:t>
      </w:r>
      <w:r>
        <w:t xml:space="preserve">program </w:t>
      </w:r>
      <w:r w:rsidRPr="003D0FEF">
        <w:t xml:space="preserve">commencement </w:t>
      </w:r>
      <w:r w:rsidRPr="003D0FEF">
        <w:rPr>
          <w:b/>
        </w:rPr>
        <w:t>(</w:t>
      </w:r>
      <w:r w:rsidR="00D1721C">
        <w:rPr>
          <w:b/>
        </w:rPr>
        <w:t xml:space="preserve">a minimum of </w:t>
      </w:r>
      <w:r w:rsidRPr="003D0FEF">
        <w:rPr>
          <w:b/>
        </w:rPr>
        <w:t>ten months)</w:t>
      </w:r>
      <w:r w:rsidRPr="003D0FEF">
        <w:t xml:space="preserve"> to allow </w:t>
      </w:r>
      <w:r>
        <w:t>time for proper consideration by the AMC</w:t>
      </w:r>
      <w:r w:rsidR="005132D6">
        <w:t>,</w:t>
      </w:r>
      <w:r>
        <w:t xml:space="preserve"> and </w:t>
      </w:r>
      <w:r w:rsidRPr="003D0FEF">
        <w:t xml:space="preserve">the </w:t>
      </w:r>
      <w:r>
        <w:t xml:space="preserve">education provider </w:t>
      </w:r>
      <w:r w:rsidRPr="003D0FEF">
        <w:t xml:space="preserve">to respond to any further requirements of the AMC. The </w:t>
      </w:r>
      <w:r>
        <w:t xml:space="preserve">education provider </w:t>
      </w:r>
      <w:r w:rsidRPr="003D0FEF">
        <w:t xml:space="preserve">is required to present details of the full </w:t>
      </w:r>
      <w:r>
        <w:t>program</w:t>
      </w:r>
      <w:r w:rsidRPr="003D0FEF">
        <w:t xml:space="preserve">, of the financial, physical and staff resources available to design and implement all years of the </w:t>
      </w:r>
      <w:r>
        <w:t xml:space="preserve">program </w:t>
      </w:r>
      <w:r w:rsidRPr="003D0FEF">
        <w:t xml:space="preserve">and to support the </w:t>
      </w:r>
      <w:r>
        <w:t xml:space="preserve">program </w:t>
      </w:r>
      <w:r w:rsidRPr="003D0FEF">
        <w:t xml:space="preserve">when fully established, and the measures in place to ensure that quality and standards are at least equivalent to those provided locally (in Australia/New Zealand). </w:t>
      </w:r>
    </w:p>
    <w:p w14:paraId="47B065E0" w14:textId="4F0E0BF1" w:rsidR="00C07DE7" w:rsidRPr="003D0FEF" w:rsidRDefault="00C07DE7" w:rsidP="00C07DE7">
      <w:pPr>
        <w:pStyle w:val="AMCBodyCopy"/>
        <w:ind w:left="567" w:hanging="567"/>
      </w:pPr>
      <w:r w:rsidRPr="003D0FEF">
        <w:t>5.3.</w:t>
      </w:r>
      <w:r>
        <w:t>2</w:t>
      </w:r>
      <w:r w:rsidRPr="003D0FEF">
        <w:tab/>
      </w:r>
      <w:r>
        <w:t xml:space="preserve">Given the </w:t>
      </w:r>
      <w:r w:rsidRPr="003D0FEF">
        <w:t xml:space="preserve">magnitude of the changes </w:t>
      </w:r>
      <w:r>
        <w:t xml:space="preserve">and challenges </w:t>
      </w:r>
      <w:r w:rsidRPr="003D0FEF">
        <w:t xml:space="preserve">entailed in </w:t>
      </w:r>
      <w:r>
        <w:t xml:space="preserve">providing </w:t>
      </w:r>
      <w:r w:rsidRPr="003D0FEF">
        <w:t xml:space="preserve">a medical </w:t>
      </w:r>
      <w:r>
        <w:t xml:space="preserve">program offshore, the AMC team will </w:t>
      </w:r>
      <w:r w:rsidRPr="003D0FEF">
        <w:t>visit the offshore campus</w:t>
      </w:r>
      <w:r w:rsidR="00D1721C">
        <w:t xml:space="preserve"> or campuses</w:t>
      </w:r>
      <w:r w:rsidRPr="003D0FEF">
        <w:t xml:space="preserve"> as well as </w:t>
      </w:r>
      <w:r>
        <w:t xml:space="preserve">hold </w:t>
      </w:r>
      <w:r w:rsidRPr="003D0FEF">
        <w:t xml:space="preserve">meetings with senior staff of the parent </w:t>
      </w:r>
      <w:r>
        <w:t>education provider</w:t>
      </w:r>
      <w:r w:rsidRPr="003D0FEF">
        <w:t xml:space="preserve">. The AMC may assess the proposal in one or more visits. </w:t>
      </w:r>
      <w:r>
        <w:t xml:space="preserve">Guidance on </w:t>
      </w:r>
      <w:r w:rsidRPr="003D0FEF">
        <w:t xml:space="preserve">the conduct of the visit </w:t>
      </w:r>
      <w:r>
        <w:t xml:space="preserve">or visits is provided </w:t>
      </w:r>
      <w:r w:rsidRPr="003D0FEF">
        <w:t xml:space="preserve">in </w:t>
      </w:r>
      <w:r w:rsidRPr="00C07DE7">
        <w:rPr>
          <w:b/>
        </w:rPr>
        <w:t>ATTACHMENT 2</w:t>
      </w:r>
      <w:r w:rsidRPr="003D0FEF">
        <w:t xml:space="preserve">.  </w:t>
      </w:r>
    </w:p>
    <w:p w14:paraId="47B065E1" w14:textId="68448E83" w:rsidR="00C07DE7" w:rsidRDefault="00C07DE7" w:rsidP="00C07DE7">
      <w:pPr>
        <w:pStyle w:val="AMCBodyCopy"/>
        <w:ind w:left="567" w:hanging="567"/>
        <w:rPr>
          <w:iCs/>
        </w:rPr>
      </w:pPr>
      <w:r w:rsidRPr="003D0FEF">
        <w:t>5.3.3</w:t>
      </w:r>
      <w:r w:rsidRPr="003D0FEF">
        <w:tab/>
      </w:r>
      <w:r>
        <w:t>The p</w:t>
      </w:r>
      <w:r w:rsidRPr="003D0FEF">
        <w:t xml:space="preserve">reparation of graduates </w:t>
      </w:r>
      <w:r>
        <w:t xml:space="preserve">to </w:t>
      </w:r>
      <w:r w:rsidRPr="003D0FEF">
        <w:t xml:space="preserve">practise </w:t>
      </w:r>
      <w:r>
        <w:t xml:space="preserve">as medical practitioners </w:t>
      </w:r>
      <w:r w:rsidRPr="003D0FEF">
        <w:t>in Australia and New Zealand</w:t>
      </w:r>
      <w:r>
        <w:t xml:space="preserve"> and the adequacy of the arrangements to provide medical students completing an offshore program with clinical </w:t>
      </w:r>
      <w:r w:rsidRPr="003D0FEF">
        <w:t xml:space="preserve">experience </w:t>
      </w:r>
      <w:r w:rsidR="00713C56">
        <w:t xml:space="preserve">in, </w:t>
      </w:r>
      <w:r w:rsidRPr="003D0FEF">
        <w:t xml:space="preserve">and </w:t>
      </w:r>
      <w:r w:rsidR="00DF52C5">
        <w:t xml:space="preserve">an </w:t>
      </w:r>
      <w:r w:rsidRPr="003D0FEF">
        <w:t>understanding of Australian and New Zealand medicine and practice</w:t>
      </w:r>
      <w:r>
        <w:t xml:space="preserve"> </w:t>
      </w:r>
      <w:r w:rsidRPr="003D0FEF">
        <w:t xml:space="preserve">will be significant issues in the AMC’s assessment of any </w:t>
      </w:r>
      <w:r>
        <w:t>offshore proposal</w:t>
      </w:r>
      <w:r w:rsidRPr="003D0FEF">
        <w:t xml:space="preserve">. </w:t>
      </w:r>
    </w:p>
    <w:p w14:paraId="47B065E2" w14:textId="5CB91640" w:rsidR="00C07DE7" w:rsidRDefault="00A96435" w:rsidP="0064638D">
      <w:pPr>
        <w:pStyle w:val="AMCBodyCopy"/>
        <w:ind w:left="567"/>
      </w:pPr>
      <w:r>
        <w:t>Variances</w:t>
      </w:r>
      <w:r w:rsidR="00C07DE7">
        <w:t xml:space="preserve"> in clinical </w:t>
      </w:r>
      <w:r w:rsidR="00C07DE7" w:rsidRPr="003D0FEF">
        <w:t>training and experience</w:t>
      </w:r>
      <w:r w:rsidR="00C07DE7">
        <w:t xml:space="preserve"> may reflect differences in</w:t>
      </w:r>
      <w:r w:rsidR="00C07DE7" w:rsidRPr="003D0FEF">
        <w:t xml:space="preserve"> </w:t>
      </w:r>
      <w:r w:rsidR="00C07DE7">
        <w:t>health status, disease patterns</w:t>
      </w:r>
      <w:r>
        <w:t xml:space="preserve">, </w:t>
      </w:r>
      <w:r w:rsidR="00C07DE7" w:rsidRPr="003D0FEF">
        <w:t>patient case mix</w:t>
      </w:r>
      <w:r w:rsidR="00C07DE7">
        <w:t xml:space="preserve">, </w:t>
      </w:r>
      <w:r w:rsidR="00C07DE7" w:rsidRPr="003D0FEF">
        <w:t>health care system</w:t>
      </w:r>
      <w:r w:rsidR="00C07DE7">
        <w:t xml:space="preserve">s, care models and the role of the medical practitioner as well </w:t>
      </w:r>
      <w:r>
        <w:t xml:space="preserve">as </w:t>
      </w:r>
      <w:r w:rsidR="00C07DE7">
        <w:t xml:space="preserve">differences in </w:t>
      </w:r>
      <w:r w:rsidR="00C07DE7" w:rsidRPr="003D0FEF">
        <w:t>community, society and culture.</w:t>
      </w:r>
    </w:p>
    <w:p w14:paraId="47B065E3" w14:textId="1357E084" w:rsidR="00C07DE7" w:rsidRDefault="0064638D" w:rsidP="00916E8C">
      <w:pPr>
        <w:pStyle w:val="AMCBodyCopy"/>
        <w:ind w:left="567" w:hanging="567"/>
      </w:pPr>
      <w:r>
        <w:t>5.3.4</w:t>
      </w:r>
      <w:r>
        <w:tab/>
      </w:r>
      <w:r w:rsidR="00C07DE7">
        <w:t>Accreditation standards</w:t>
      </w:r>
      <w:r>
        <w:rPr>
          <w:rStyle w:val="FootnoteReference"/>
        </w:rPr>
        <w:footnoteReference w:id="10"/>
      </w:r>
      <w:r w:rsidR="00C07DE7">
        <w:t xml:space="preserve"> that are particularly relevant </w:t>
      </w:r>
      <w:r>
        <w:t xml:space="preserve">to the AMC’s assessment of the adequacy of clinical training and experience </w:t>
      </w:r>
      <w:r w:rsidR="00C07DE7">
        <w:t>are listed below, with proposed changes to those standards:</w:t>
      </w:r>
    </w:p>
    <w:p w14:paraId="47B065E4" w14:textId="312C1FE6" w:rsidR="00C07DE7" w:rsidRPr="00C07DE7" w:rsidRDefault="00C07DE7" w:rsidP="007B54D1">
      <w:pPr>
        <w:pStyle w:val="AMCBodyCopy"/>
        <w:tabs>
          <w:tab w:val="clear" w:pos="567"/>
          <w:tab w:val="left" w:pos="1134"/>
        </w:tabs>
        <w:ind w:left="1134" w:hanging="567"/>
        <w:rPr>
          <w:i/>
          <w:lang w:val="en-US"/>
        </w:rPr>
      </w:pPr>
      <w:r w:rsidRPr="00C07DE7">
        <w:rPr>
          <w:i/>
          <w:lang w:val="en-US"/>
        </w:rPr>
        <w:t xml:space="preserve">2.2.2 </w:t>
      </w:r>
      <w:r w:rsidRPr="00C07DE7">
        <w:rPr>
          <w:i/>
          <w:lang w:val="en-US"/>
        </w:rPr>
        <w:tab/>
        <w:t>The medical program outcomes are consistent with the AMC’s goal for medical education</w:t>
      </w:r>
      <w:r w:rsidR="00642260">
        <w:rPr>
          <w:i/>
          <w:lang w:val="en-US"/>
        </w:rPr>
        <w:t xml:space="preserve"> </w:t>
      </w:r>
      <w:r w:rsidRPr="00C07DE7">
        <w:rPr>
          <w:i/>
          <w:lang w:val="en-US"/>
        </w:rPr>
        <w:t xml:space="preserve">to develop junior doctors who are competent to practise safely and effectively under supervision as interns in Australia or New Zealand, and who have an appropriate foundation for lifelong learning and for further training in any branch of medicine. </w:t>
      </w:r>
    </w:p>
    <w:p w14:paraId="47B065E5" w14:textId="04D08B42" w:rsidR="00C07DE7" w:rsidRPr="00C07DE7" w:rsidRDefault="00C07DE7" w:rsidP="007B54D1">
      <w:pPr>
        <w:pStyle w:val="AMCBodyCopy"/>
        <w:tabs>
          <w:tab w:val="clear" w:pos="567"/>
          <w:tab w:val="left" w:pos="1134"/>
        </w:tabs>
        <w:ind w:left="1134" w:hanging="567"/>
        <w:rPr>
          <w:i/>
          <w:lang w:val="en-US"/>
        </w:rPr>
      </w:pPr>
      <w:r w:rsidRPr="00C07DE7">
        <w:rPr>
          <w:i/>
          <w:lang w:val="en-US"/>
        </w:rPr>
        <w:t xml:space="preserve">2.2.3 </w:t>
      </w:r>
      <w:r w:rsidRPr="00C07DE7">
        <w:rPr>
          <w:i/>
          <w:lang w:val="en-US"/>
        </w:rPr>
        <w:tab/>
        <w:t>The medical program achieves comparable outcomes through comparable educational experiences and equivalent methods of assessment across all instructional sites within a given discipline.</w:t>
      </w:r>
    </w:p>
    <w:p w14:paraId="47B065E6" w14:textId="4F7B0824" w:rsidR="00C07DE7" w:rsidRPr="00C07DE7" w:rsidRDefault="00C07DE7" w:rsidP="007B54D1">
      <w:pPr>
        <w:pStyle w:val="AMCBodyCopy"/>
        <w:tabs>
          <w:tab w:val="clear" w:pos="567"/>
          <w:tab w:val="left" w:pos="1134"/>
        </w:tabs>
        <w:ind w:left="1134" w:hanging="567"/>
        <w:rPr>
          <w:i/>
          <w:lang w:val="en-GB"/>
        </w:rPr>
      </w:pPr>
      <w:r w:rsidRPr="00C07DE7">
        <w:rPr>
          <w:i/>
          <w:lang w:val="en-GB"/>
        </w:rPr>
        <w:t>4.6</w:t>
      </w:r>
      <w:r w:rsidRPr="00C07DE7">
        <w:rPr>
          <w:i/>
          <w:lang w:val="en-GB"/>
        </w:rPr>
        <w:tab/>
        <w:t xml:space="preserve">Learning and teaching methods in the clinical environment promote the concepts of patient centred care and collaborative engagement. </w:t>
      </w:r>
    </w:p>
    <w:p w14:paraId="47B065E7" w14:textId="5B0FD0D5" w:rsidR="00C07DE7" w:rsidRPr="00C07DE7" w:rsidRDefault="00C07DE7" w:rsidP="007B54D1">
      <w:pPr>
        <w:pStyle w:val="AMCBodyCopy"/>
        <w:tabs>
          <w:tab w:val="clear" w:pos="567"/>
          <w:tab w:val="left" w:pos="1134"/>
        </w:tabs>
        <w:ind w:left="1134" w:hanging="567"/>
        <w:rPr>
          <w:i/>
          <w:lang w:val="en-GB"/>
        </w:rPr>
      </w:pPr>
      <w:r w:rsidRPr="00C07DE7">
        <w:rPr>
          <w:i/>
          <w:lang w:val="en-GB"/>
        </w:rPr>
        <w:t>4.7</w:t>
      </w:r>
      <w:r w:rsidRPr="00C07DE7">
        <w:rPr>
          <w:i/>
          <w:lang w:val="en-GB"/>
        </w:rPr>
        <w:tab/>
        <w:t>The medical program ensures that students work with, and learn from and about other health professionals, including experience working and learning in interprofessional teams.</w:t>
      </w:r>
    </w:p>
    <w:p w14:paraId="47B065E8" w14:textId="77777777" w:rsidR="00C07DE7" w:rsidRPr="00C07DE7" w:rsidRDefault="00C07DE7" w:rsidP="007B54D1">
      <w:pPr>
        <w:pStyle w:val="AMCBodyCopy"/>
        <w:tabs>
          <w:tab w:val="clear" w:pos="567"/>
          <w:tab w:val="left" w:pos="1134"/>
        </w:tabs>
        <w:ind w:left="1134" w:hanging="567"/>
        <w:rPr>
          <w:i/>
        </w:rPr>
      </w:pPr>
      <w:r w:rsidRPr="00C07DE7">
        <w:rPr>
          <w:i/>
        </w:rPr>
        <w:t xml:space="preserve">6.2.1 </w:t>
      </w:r>
      <w:r w:rsidRPr="00C07DE7">
        <w:rPr>
          <w:i/>
        </w:rPr>
        <w:tab/>
        <w:t>The medical education provider analyses the performance of cohorts of students and graduates in relation to the outcomes of the medical program.</w:t>
      </w:r>
    </w:p>
    <w:p w14:paraId="47B065E9" w14:textId="06F1943F" w:rsidR="00C07DE7" w:rsidRDefault="00C07DE7" w:rsidP="007B54D1">
      <w:pPr>
        <w:pStyle w:val="AMCBodyCopy"/>
        <w:tabs>
          <w:tab w:val="clear" w:pos="567"/>
          <w:tab w:val="left" w:pos="1134"/>
        </w:tabs>
        <w:ind w:left="1134" w:hanging="567"/>
        <w:rPr>
          <w:rFonts w:cs="Arial"/>
          <w:i/>
          <w:color w:val="auto"/>
        </w:rPr>
      </w:pPr>
      <w:r w:rsidRPr="00C07DE7">
        <w:rPr>
          <w:rFonts w:cs="Arial"/>
          <w:i/>
          <w:color w:val="auto"/>
        </w:rPr>
        <w:lastRenderedPageBreak/>
        <w:t xml:space="preserve">8.3.1 </w:t>
      </w:r>
      <w:r w:rsidRPr="00C07DE7">
        <w:rPr>
          <w:rFonts w:cs="Arial"/>
          <w:i/>
          <w:color w:val="auto"/>
        </w:rPr>
        <w:tab/>
        <w:t xml:space="preserve">The medical education provider ensures that the clinical learning environment offers students </w:t>
      </w:r>
      <w:r w:rsidR="002E715A">
        <w:rPr>
          <w:rFonts w:cs="Arial"/>
          <w:i/>
          <w:color w:val="FF0000"/>
        </w:rPr>
        <w:t xml:space="preserve">appropriate </w:t>
      </w:r>
      <w:r w:rsidRPr="00C07DE7">
        <w:rPr>
          <w:rFonts w:cs="Arial"/>
          <w:i/>
          <w:color w:val="FF0000"/>
        </w:rPr>
        <w:t xml:space="preserve">clinical experience </w:t>
      </w:r>
      <w:r w:rsidRPr="00C07DE7">
        <w:rPr>
          <w:rFonts w:cs="Arial"/>
          <w:i/>
          <w:color w:val="auto"/>
        </w:rPr>
        <w:t xml:space="preserve">including patient contact </w:t>
      </w:r>
      <w:r w:rsidR="00794949" w:rsidRPr="00794949">
        <w:rPr>
          <w:rFonts w:cs="Arial"/>
          <w:i/>
          <w:iCs/>
          <w:color w:val="FF0000"/>
          <w:szCs w:val="22"/>
          <w:lang w:eastAsia="en-AU"/>
        </w:rPr>
        <w:t xml:space="preserve">that is in line with achieving </w:t>
      </w:r>
      <w:r w:rsidRPr="00C07DE7">
        <w:rPr>
          <w:rFonts w:cs="Arial"/>
          <w:i/>
          <w:color w:val="auto"/>
        </w:rPr>
        <w:t xml:space="preserve">the outcomes of the medical program and to prepare students for clinical practice </w:t>
      </w:r>
      <w:r w:rsidRPr="00C07DE7">
        <w:rPr>
          <w:rFonts w:cs="Arial"/>
          <w:i/>
          <w:color w:val="FF0000"/>
        </w:rPr>
        <w:t>in Australia and New Zealand</w:t>
      </w:r>
      <w:r w:rsidRPr="00C07DE7">
        <w:rPr>
          <w:rFonts w:cs="Arial"/>
          <w:i/>
          <w:color w:val="auto"/>
        </w:rPr>
        <w:t xml:space="preserve">. </w:t>
      </w:r>
    </w:p>
    <w:p w14:paraId="47B065EA" w14:textId="7F5A3216" w:rsidR="00C07DE7" w:rsidRPr="00C07DE7" w:rsidRDefault="00C07DE7" w:rsidP="007B54D1">
      <w:pPr>
        <w:pStyle w:val="AMCBodyCopy"/>
        <w:tabs>
          <w:tab w:val="clear" w:pos="567"/>
          <w:tab w:val="left" w:pos="1134"/>
        </w:tabs>
        <w:ind w:left="1134" w:hanging="567"/>
        <w:rPr>
          <w:rFonts w:cs="Arial"/>
          <w:b/>
          <w:i/>
          <w:color w:val="auto"/>
        </w:rPr>
      </w:pPr>
      <w:r w:rsidRPr="00C07DE7">
        <w:rPr>
          <w:rFonts w:cs="Arial"/>
          <w:i/>
          <w:color w:val="auto"/>
        </w:rPr>
        <w:t xml:space="preserve">8.3.2 </w:t>
      </w:r>
      <w:r w:rsidRPr="00C07DE7">
        <w:rPr>
          <w:rFonts w:cs="Arial"/>
          <w:i/>
          <w:color w:val="auto"/>
        </w:rPr>
        <w:tab/>
        <w:t>The medical education provider has sufficient clinical teaching facilities to provide clinical experiences in a range of models of care and across metropolitan and rural health settings.</w:t>
      </w:r>
    </w:p>
    <w:p w14:paraId="47B065EB" w14:textId="77777777" w:rsidR="00522018" w:rsidRDefault="00C07DE7" w:rsidP="00522018">
      <w:pPr>
        <w:pStyle w:val="AMCBodyCopy"/>
        <w:tabs>
          <w:tab w:val="clear" w:pos="567"/>
          <w:tab w:val="left" w:pos="1134"/>
        </w:tabs>
        <w:ind w:left="1134" w:hanging="567"/>
        <w:rPr>
          <w:rFonts w:cs="Arial"/>
          <w:i/>
          <w:color w:val="auto"/>
        </w:rPr>
      </w:pPr>
      <w:r w:rsidRPr="00C07DE7">
        <w:rPr>
          <w:rFonts w:cs="Arial"/>
          <w:i/>
          <w:color w:val="auto"/>
        </w:rPr>
        <w:t xml:space="preserve">8.3.3 </w:t>
      </w:r>
      <w:r w:rsidRPr="00C07DE7">
        <w:rPr>
          <w:rFonts w:cs="Arial"/>
          <w:i/>
          <w:color w:val="auto"/>
        </w:rPr>
        <w:tab/>
        <w:t>The medical education provider ensures the clinical learning environment provides students with experience in the provision of culturally competent health care to Aboriginal and Torres Strait Islander peoples and/or Maori.</w:t>
      </w:r>
    </w:p>
    <w:p w14:paraId="35066223" w14:textId="512B2189" w:rsidR="0002660F" w:rsidRPr="005753B9" w:rsidRDefault="0002195E" w:rsidP="0002660F">
      <w:pPr>
        <w:pStyle w:val="AMCBodyCopy"/>
        <w:tabs>
          <w:tab w:val="clear" w:pos="567"/>
          <w:tab w:val="left" w:pos="1134"/>
        </w:tabs>
        <w:ind w:left="567" w:hanging="567"/>
        <w:rPr>
          <w:rFonts w:cs="Arial"/>
          <w:b/>
          <w:color w:val="auto"/>
        </w:rPr>
      </w:pPr>
      <w:r w:rsidRPr="0002660F">
        <w:rPr>
          <w:color w:val="auto"/>
        </w:rPr>
        <w:t>5.3.5</w:t>
      </w:r>
      <w:r w:rsidR="00225FE8" w:rsidRPr="0002660F">
        <w:rPr>
          <w:color w:val="auto"/>
        </w:rPr>
        <w:tab/>
      </w:r>
      <w:r w:rsidR="0002660F">
        <w:rPr>
          <w:color w:val="auto"/>
        </w:rPr>
        <w:t xml:space="preserve">In addressing Accreditation Standard 8.3.1, the medical education provider should demonstrate that the offshore program’s </w:t>
      </w:r>
      <w:r w:rsidR="0002660F" w:rsidRPr="005753B9">
        <w:rPr>
          <w:rFonts w:cs="Arial"/>
          <w:color w:val="auto"/>
        </w:rPr>
        <w:t xml:space="preserve">preparation for students for clinical practice in Australia and New Zealand is consistent with the preparation provided by the Australian or New Zealand program. </w:t>
      </w:r>
    </w:p>
    <w:p w14:paraId="64092C72" w14:textId="2E6A173E" w:rsidR="0002195E" w:rsidRPr="0002660F" w:rsidRDefault="0002660F" w:rsidP="006873F3">
      <w:pPr>
        <w:pStyle w:val="AMCBodyCopy"/>
        <w:ind w:left="567" w:hanging="567"/>
        <w:rPr>
          <w:color w:val="auto"/>
        </w:rPr>
      </w:pPr>
      <w:r>
        <w:rPr>
          <w:color w:val="auto"/>
        </w:rPr>
        <w:t>5.3.6</w:t>
      </w:r>
      <w:r>
        <w:rPr>
          <w:color w:val="auto"/>
        </w:rPr>
        <w:tab/>
      </w:r>
      <w:r w:rsidR="00225FE8" w:rsidRPr="0002660F">
        <w:rPr>
          <w:color w:val="auto"/>
        </w:rPr>
        <w:t xml:space="preserve">In addressing Accreditation Standard 7.2, the medical education </w:t>
      </w:r>
      <w:r>
        <w:rPr>
          <w:color w:val="auto"/>
        </w:rPr>
        <w:t xml:space="preserve">provider </w:t>
      </w:r>
      <w:r w:rsidR="0002195E" w:rsidRPr="0002660F">
        <w:rPr>
          <w:color w:val="auto"/>
        </w:rPr>
        <w:t xml:space="preserve">should </w:t>
      </w:r>
      <w:r w:rsidR="00225FE8" w:rsidRPr="0002660F">
        <w:rPr>
          <w:color w:val="auto"/>
        </w:rPr>
        <w:t xml:space="preserve">have public information available on the medical program and any difference between the program for local students and students in the offshore program offering, medical registration and the availability of </w:t>
      </w:r>
      <w:r w:rsidR="0002195E" w:rsidRPr="0002660F">
        <w:rPr>
          <w:color w:val="auto"/>
        </w:rPr>
        <w:t>internships</w:t>
      </w:r>
      <w:r w:rsidR="00225FE8" w:rsidRPr="0002660F">
        <w:rPr>
          <w:color w:val="auto"/>
        </w:rPr>
        <w:t xml:space="preserve"> in Australia</w:t>
      </w:r>
      <w:r w:rsidR="008F7345">
        <w:rPr>
          <w:color w:val="auto"/>
        </w:rPr>
        <w:t xml:space="preserve"> and </w:t>
      </w:r>
      <w:r w:rsidR="00225FE8" w:rsidRPr="0002660F">
        <w:rPr>
          <w:color w:val="auto"/>
        </w:rPr>
        <w:t>New Zealand.</w:t>
      </w:r>
    </w:p>
    <w:p w14:paraId="5C0C46AA" w14:textId="3B4D92BE" w:rsidR="005E2175" w:rsidRDefault="005E2175" w:rsidP="006873F3">
      <w:pPr>
        <w:pStyle w:val="AMCBodyCopy"/>
        <w:ind w:left="567" w:hanging="567"/>
      </w:pPr>
    </w:p>
    <w:p w14:paraId="47B065ED" w14:textId="77777777" w:rsidR="00C07DE7" w:rsidRPr="003D0FEF" w:rsidRDefault="00C07DE7" w:rsidP="007B54D1">
      <w:pPr>
        <w:pStyle w:val="AMCBodyCopy"/>
      </w:pPr>
      <w:r w:rsidRPr="003D0FEF">
        <w:t>5.4</w:t>
      </w:r>
      <w:r w:rsidRPr="003D0FEF">
        <w:tab/>
      </w:r>
      <w:r w:rsidRPr="007B54D1">
        <w:rPr>
          <w:u w:val="single"/>
        </w:rPr>
        <w:t>Decisions on accreditation</w:t>
      </w:r>
      <w:r w:rsidRPr="003D0FEF">
        <w:t xml:space="preserve"> </w:t>
      </w:r>
    </w:p>
    <w:p w14:paraId="47B065EE" w14:textId="77777777" w:rsidR="00C07DE7" w:rsidRDefault="00C07DE7" w:rsidP="007B54D1">
      <w:pPr>
        <w:pStyle w:val="AMCBodyCopy"/>
        <w:ind w:left="567" w:hanging="567"/>
      </w:pPr>
      <w:r w:rsidRPr="003D0FEF">
        <w:t>5.4.1</w:t>
      </w:r>
      <w:r w:rsidRPr="003D0FEF">
        <w:tab/>
      </w:r>
      <w:r w:rsidRPr="00237BCF">
        <w:t xml:space="preserve">Under the </w:t>
      </w:r>
      <w:r w:rsidRPr="00237BCF">
        <w:rPr>
          <w:bCs/>
          <w:i/>
          <w:lang w:eastAsia="en-AU"/>
        </w:rPr>
        <w:t>Health Practitioner Regulation National Law</w:t>
      </w:r>
      <w:r w:rsidRPr="00237BCF">
        <w:t xml:space="preserve">, the AMC may grant accreditation if it is reasonably satisfied that a program of study and the education provider meet an approved accreditation standard. It may also grant accreditation if it is reasonably satisfied that the provider and the program of study substantially meet an approved accreditation standard, and the imposition of conditions will ensure the program meets the standard within a reasonable time. </w:t>
      </w:r>
      <w:r>
        <w:t>Having made a decision, the AMC reports its accreditation decision to the Medical Board of Australia to enable the Board to make a decision on the approval of the program for registration purposes.</w:t>
      </w:r>
    </w:p>
    <w:p w14:paraId="47B065EF" w14:textId="77777777" w:rsidR="00C07DE7" w:rsidRPr="003D0FEF" w:rsidRDefault="00C07DE7" w:rsidP="007B54D1">
      <w:pPr>
        <w:pStyle w:val="AMCBodyCopy"/>
        <w:ind w:left="567" w:hanging="567"/>
      </w:pPr>
      <w:r>
        <w:t>5.4.2</w:t>
      </w:r>
      <w:r>
        <w:tab/>
      </w:r>
      <w:r w:rsidRPr="003D0FEF">
        <w:t xml:space="preserve">The options open to the AMC in accrediting major </w:t>
      </w:r>
      <w:r>
        <w:t xml:space="preserve">program </w:t>
      </w:r>
      <w:r w:rsidRPr="003D0FEF">
        <w:t>change</w:t>
      </w:r>
      <w:r>
        <w:t>s</w:t>
      </w:r>
      <w:r w:rsidRPr="003D0FEF">
        <w:t xml:space="preserve"> </w:t>
      </w:r>
      <w:r>
        <w:t xml:space="preserve">and new medical programs </w:t>
      </w:r>
      <w:r w:rsidRPr="003D0FEF">
        <w:t xml:space="preserve">are described in the </w:t>
      </w:r>
      <w:r w:rsidRPr="00305E03">
        <w:rPr>
          <w:i/>
        </w:rPr>
        <w:t xml:space="preserve">Procedures for Assessment and Accreditation of </w:t>
      </w:r>
      <w:r>
        <w:rPr>
          <w:i/>
        </w:rPr>
        <w:t xml:space="preserve">Primary Medical Programs </w:t>
      </w:r>
      <w:r w:rsidRPr="00305E03">
        <w:rPr>
          <w:i/>
        </w:rPr>
        <w:t>by the Australian Medical Council</w:t>
      </w:r>
      <w:r>
        <w:t xml:space="preserve"> (AMC Procedures sections 5.2 and 5.3)</w:t>
      </w:r>
      <w:r w:rsidRPr="003D0FEF">
        <w:t xml:space="preserve">.  In summary, these are: </w:t>
      </w:r>
    </w:p>
    <w:p w14:paraId="47B065F0" w14:textId="1400E119" w:rsidR="00C07DE7" w:rsidRPr="003D0FEF" w:rsidRDefault="00C07DE7" w:rsidP="00522018">
      <w:pPr>
        <w:pStyle w:val="AMCBodyCopy"/>
        <w:numPr>
          <w:ilvl w:val="0"/>
          <w:numId w:val="8"/>
        </w:numPr>
        <w:ind w:left="1134" w:hanging="567"/>
      </w:pPr>
      <w:r w:rsidRPr="003D0FEF">
        <w:t xml:space="preserve">Accreditation of the new </w:t>
      </w:r>
      <w:r>
        <w:t xml:space="preserve">program or major change to the program </w:t>
      </w:r>
      <w:r w:rsidRPr="003D0FEF">
        <w:t xml:space="preserve">until </w:t>
      </w:r>
      <w:r>
        <w:t xml:space="preserve">one </w:t>
      </w:r>
      <w:r w:rsidRPr="003D0FEF">
        <w:t xml:space="preserve">year after the full </w:t>
      </w:r>
      <w:r>
        <w:t xml:space="preserve">program </w:t>
      </w:r>
      <w:r w:rsidRPr="003D0FEF">
        <w:t xml:space="preserve">has been implemented, </w:t>
      </w:r>
      <w:r>
        <w:t xml:space="preserve">subject to AMC monitoring including </w:t>
      </w:r>
      <w:r w:rsidRPr="003D0FEF">
        <w:t xml:space="preserve">satisfactory annual </w:t>
      </w:r>
      <w:r>
        <w:t xml:space="preserve">progress </w:t>
      </w:r>
      <w:r w:rsidRPr="003D0FEF">
        <w:t xml:space="preserve">reports. </w:t>
      </w:r>
      <w:r>
        <w:t xml:space="preserve">Monitoring may require accreditation </w:t>
      </w:r>
      <w:r w:rsidRPr="003D0FEF">
        <w:t xml:space="preserve">conditions </w:t>
      </w:r>
      <w:r>
        <w:t xml:space="preserve">to be </w:t>
      </w:r>
      <w:r w:rsidRPr="003D0FEF">
        <w:t>addressed within a specified period and</w:t>
      </w:r>
      <w:r>
        <w:t>/or</w:t>
      </w:r>
      <w:r w:rsidRPr="003D0FEF">
        <w:t xml:space="preserve"> to follow-up reviews by the AMC.  </w:t>
      </w:r>
    </w:p>
    <w:p w14:paraId="47B065F1" w14:textId="77777777" w:rsidR="00C07DE7" w:rsidRPr="003D0FEF" w:rsidRDefault="00C07DE7" w:rsidP="00522018">
      <w:pPr>
        <w:pStyle w:val="AMCBodyCopy"/>
        <w:numPr>
          <w:ilvl w:val="0"/>
          <w:numId w:val="8"/>
        </w:numPr>
        <w:ind w:left="1134" w:hanging="567"/>
      </w:pPr>
      <w:r w:rsidRPr="003D0FEF">
        <w:t xml:space="preserve">Accreditation of the new </w:t>
      </w:r>
      <w:r>
        <w:t xml:space="preserve">program </w:t>
      </w:r>
      <w:r w:rsidRPr="003D0FEF">
        <w:t>is not granted.</w:t>
      </w:r>
    </w:p>
    <w:p w14:paraId="47B065F2" w14:textId="77777777" w:rsidR="00C07DE7" w:rsidRDefault="00C07DE7" w:rsidP="007B54D1">
      <w:pPr>
        <w:pStyle w:val="AMCBodyCopy"/>
        <w:ind w:left="567" w:hanging="567"/>
      </w:pPr>
      <w:r w:rsidRPr="003D0FEF">
        <w:t>5.4.</w:t>
      </w:r>
      <w:r>
        <w:t>3</w:t>
      </w:r>
      <w:r w:rsidRPr="003D0FEF">
        <w:tab/>
        <w:t>The AMC accreditation decision relate</w:t>
      </w:r>
      <w:r>
        <w:t>s</w:t>
      </w:r>
      <w:r w:rsidRPr="003D0FEF">
        <w:t xml:space="preserve"> to a particular medical </w:t>
      </w:r>
      <w:r>
        <w:t xml:space="preserve">education provider </w:t>
      </w:r>
      <w:r w:rsidRPr="003D0FEF">
        <w:t xml:space="preserve">and a specific </w:t>
      </w:r>
      <w:r>
        <w:t xml:space="preserve">program or programs leading to a named </w:t>
      </w:r>
      <w:r w:rsidRPr="003D0FEF">
        <w:t xml:space="preserve">award. </w:t>
      </w:r>
      <w:r>
        <w:t>W</w:t>
      </w:r>
      <w:r w:rsidRPr="003D0FEF">
        <w:t xml:space="preserve">eaknesses in the medical </w:t>
      </w:r>
      <w:r>
        <w:t xml:space="preserve">program </w:t>
      </w:r>
      <w:r w:rsidRPr="003D0FEF">
        <w:t xml:space="preserve">at a particular location or locations </w:t>
      </w:r>
      <w:r>
        <w:t xml:space="preserve">may </w:t>
      </w:r>
      <w:r w:rsidRPr="003D0FEF">
        <w:t xml:space="preserve">result in accreditation conditions on the </w:t>
      </w:r>
      <w:r>
        <w:t xml:space="preserve">provider and program </w:t>
      </w:r>
      <w:r w:rsidRPr="003D0FEF">
        <w:t xml:space="preserve">as a whole.  </w:t>
      </w:r>
    </w:p>
    <w:p w14:paraId="47B065F3" w14:textId="77777777" w:rsidR="00C07DE7" w:rsidRDefault="00C07DE7" w:rsidP="007B54D1">
      <w:pPr>
        <w:pStyle w:val="AMCBodyCopy"/>
        <w:ind w:left="567" w:hanging="567"/>
      </w:pPr>
      <w:r>
        <w:lastRenderedPageBreak/>
        <w:t>5.4.4</w:t>
      </w:r>
      <w:r>
        <w:tab/>
      </w:r>
      <w:r w:rsidRPr="003D0FEF">
        <w:t xml:space="preserve">If the </w:t>
      </w:r>
      <w:r>
        <w:t xml:space="preserve">education provider </w:t>
      </w:r>
      <w:r w:rsidRPr="003D0FEF">
        <w:t xml:space="preserve">intends to grant the same award title to </w:t>
      </w:r>
      <w:r>
        <w:t xml:space="preserve">an </w:t>
      </w:r>
      <w:r w:rsidRPr="003D0FEF">
        <w:t xml:space="preserve">offshore </w:t>
      </w:r>
      <w:r>
        <w:t xml:space="preserve">program </w:t>
      </w:r>
      <w:r w:rsidRPr="003D0FEF">
        <w:t xml:space="preserve">as </w:t>
      </w:r>
      <w:r>
        <w:t xml:space="preserve">it </w:t>
      </w:r>
      <w:r w:rsidRPr="003D0FEF">
        <w:t>grant</w:t>
      </w:r>
      <w:r>
        <w:t>s</w:t>
      </w:r>
      <w:r w:rsidRPr="003D0FEF">
        <w:t xml:space="preserve"> to the </w:t>
      </w:r>
      <w:r>
        <w:t xml:space="preserve">program conducted </w:t>
      </w:r>
      <w:r w:rsidRPr="003D0FEF">
        <w:t xml:space="preserve">in Australia or New Zealand </w:t>
      </w:r>
      <w:r>
        <w:t xml:space="preserve">and </w:t>
      </w:r>
      <w:r w:rsidRPr="003D0FEF">
        <w:t xml:space="preserve">accredited by the AMC, then the AMC accreditation decision will relate to the </w:t>
      </w:r>
      <w:r>
        <w:t xml:space="preserve">program </w:t>
      </w:r>
      <w:r w:rsidRPr="003D0FEF">
        <w:t xml:space="preserve">as a single entity.  </w:t>
      </w:r>
    </w:p>
    <w:p w14:paraId="47B065F4" w14:textId="14377401" w:rsidR="00C07DE7" w:rsidRPr="003D0FEF" w:rsidRDefault="00C07DE7" w:rsidP="007B54D1">
      <w:pPr>
        <w:pStyle w:val="AMCBodyCopy"/>
        <w:ind w:left="567" w:hanging="567"/>
      </w:pPr>
      <w:r>
        <w:t>5.4.5</w:t>
      </w:r>
      <w:r>
        <w:tab/>
      </w:r>
      <w:r w:rsidRPr="003D0FEF">
        <w:t xml:space="preserve">If the offshore </w:t>
      </w:r>
      <w:r>
        <w:t xml:space="preserve">program </w:t>
      </w:r>
      <w:r w:rsidRPr="003D0FEF">
        <w:t xml:space="preserve">does not satisfy </w:t>
      </w:r>
      <w:r>
        <w:t xml:space="preserve">the approved accreditation </w:t>
      </w:r>
      <w:r w:rsidRPr="003D0FEF">
        <w:t xml:space="preserve">standards, then the entire AMC-accredited </w:t>
      </w:r>
      <w:r>
        <w:t xml:space="preserve">program </w:t>
      </w:r>
      <w:r w:rsidRPr="003D0FEF">
        <w:t xml:space="preserve">does not satisfy the accreditation standards.  A decision to remove the accreditation of a medical </w:t>
      </w:r>
      <w:r>
        <w:t xml:space="preserve">program </w:t>
      </w:r>
      <w:r w:rsidRPr="003D0FEF">
        <w:t xml:space="preserve">offered in Australia or New Zealand would be taken only if discussion between the AMC and the </w:t>
      </w:r>
      <w:r>
        <w:t xml:space="preserve">education provider </w:t>
      </w:r>
      <w:r w:rsidRPr="003D0FEF">
        <w:t xml:space="preserve">did not lead to resolution of the AMC’s concerns.  This might, for example, entail </w:t>
      </w:r>
      <w:r>
        <w:t xml:space="preserve">changing the offshore program and </w:t>
      </w:r>
      <w:r w:rsidRPr="003D0FEF">
        <w:t xml:space="preserve">granting </w:t>
      </w:r>
      <w:r>
        <w:t xml:space="preserve">it </w:t>
      </w:r>
      <w:r w:rsidRPr="003D0FEF">
        <w:t xml:space="preserve">a different award to </w:t>
      </w:r>
      <w:r>
        <w:t xml:space="preserve">that of </w:t>
      </w:r>
      <w:r w:rsidRPr="003D0FEF">
        <w:t xml:space="preserve">the local AMC-accredited </w:t>
      </w:r>
      <w:r>
        <w:t>program</w:t>
      </w:r>
      <w:r w:rsidRPr="003D0FEF">
        <w:t xml:space="preserve">. </w:t>
      </w:r>
    </w:p>
    <w:p w14:paraId="47B065F5" w14:textId="77777777" w:rsidR="00C07DE7" w:rsidRPr="003D0FEF" w:rsidRDefault="00C07DE7" w:rsidP="00C07DE7">
      <w:pPr>
        <w:ind w:left="720" w:hanging="720"/>
        <w:jc w:val="both"/>
      </w:pPr>
    </w:p>
    <w:p w14:paraId="47B065F6" w14:textId="77777777" w:rsidR="00C07DE7" w:rsidRPr="003D0FEF" w:rsidRDefault="00C07DE7" w:rsidP="00C07DE7">
      <w:pPr>
        <w:ind w:left="720" w:hanging="720"/>
        <w:jc w:val="both"/>
      </w:pPr>
    </w:p>
    <w:p w14:paraId="47B065F7" w14:textId="77777777" w:rsidR="00C07DE7" w:rsidRPr="003D0FEF" w:rsidRDefault="00C07DE7" w:rsidP="00C07DE7">
      <w:pPr>
        <w:ind w:left="720" w:hanging="720"/>
        <w:jc w:val="both"/>
      </w:pPr>
    </w:p>
    <w:p w14:paraId="47B065F8" w14:textId="77777777" w:rsidR="00522018" w:rsidRDefault="00522018" w:rsidP="007B54D1">
      <w:pPr>
        <w:pStyle w:val="AMCBodyCopy"/>
        <w:spacing w:before="60" w:after="60"/>
      </w:pPr>
    </w:p>
    <w:p w14:paraId="47B065F9" w14:textId="77777777" w:rsidR="00522018" w:rsidRDefault="00522018" w:rsidP="007B54D1">
      <w:pPr>
        <w:pStyle w:val="AMCBodyCopy"/>
        <w:spacing w:before="60" w:after="60"/>
      </w:pPr>
    </w:p>
    <w:p w14:paraId="47B065FA" w14:textId="77777777" w:rsidR="00522018" w:rsidRDefault="00522018" w:rsidP="007B54D1">
      <w:pPr>
        <w:pStyle w:val="AMCBodyCopy"/>
        <w:spacing w:before="60" w:after="60"/>
      </w:pPr>
    </w:p>
    <w:p w14:paraId="47B065FB" w14:textId="77777777" w:rsidR="00522018" w:rsidRDefault="00522018" w:rsidP="007B54D1">
      <w:pPr>
        <w:pStyle w:val="AMCBodyCopy"/>
        <w:spacing w:before="60" w:after="60"/>
      </w:pPr>
    </w:p>
    <w:p w14:paraId="47B065FC" w14:textId="77777777" w:rsidR="00522018" w:rsidRDefault="00522018" w:rsidP="007B54D1">
      <w:pPr>
        <w:pStyle w:val="AMCBodyCopy"/>
        <w:spacing w:before="60" w:after="60"/>
      </w:pPr>
    </w:p>
    <w:p w14:paraId="47B065FD" w14:textId="77777777" w:rsidR="00C07DE7" w:rsidRPr="003D0FEF" w:rsidRDefault="00C07DE7" w:rsidP="007B54D1">
      <w:pPr>
        <w:pStyle w:val="AMCBodyCopy"/>
        <w:spacing w:before="60" w:after="60"/>
      </w:pPr>
      <w:r w:rsidRPr="003D0FEF">
        <w:t xml:space="preserve">Australian Medical Council </w:t>
      </w:r>
    </w:p>
    <w:p w14:paraId="47B065FE" w14:textId="77777777" w:rsidR="00C07DE7" w:rsidRPr="003D0FEF" w:rsidRDefault="00C07DE7" w:rsidP="007B54D1">
      <w:pPr>
        <w:pStyle w:val="AMCBodyCopy"/>
        <w:spacing w:before="60" w:after="60"/>
      </w:pPr>
    </w:p>
    <w:p w14:paraId="47B065FF" w14:textId="77777777" w:rsidR="00C07DE7" w:rsidRPr="003D0FEF" w:rsidRDefault="00C07DE7" w:rsidP="007B54D1">
      <w:pPr>
        <w:pStyle w:val="AMCBodyCopy"/>
        <w:spacing w:before="60" w:after="60"/>
      </w:pPr>
      <w:r w:rsidRPr="003D0FEF">
        <w:t>Adopted July 2005</w:t>
      </w:r>
    </w:p>
    <w:p w14:paraId="47B06600" w14:textId="77777777" w:rsidR="00C07DE7" w:rsidRPr="003D0FEF" w:rsidRDefault="00C07DE7" w:rsidP="007B54D1">
      <w:pPr>
        <w:pStyle w:val="AMCBodyCopy"/>
        <w:spacing w:before="60" w:after="60"/>
      </w:pPr>
      <w:r w:rsidRPr="003D0FEF">
        <w:t>Revised June 2008</w:t>
      </w:r>
    </w:p>
    <w:p w14:paraId="47B06601" w14:textId="77777777" w:rsidR="00C07DE7" w:rsidRDefault="00C07DE7" w:rsidP="007B54D1">
      <w:pPr>
        <w:pStyle w:val="AMCBodyCopy"/>
        <w:spacing w:before="60" w:after="60"/>
      </w:pPr>
      <w:r>
        <w:t>Revised 2010</w:t>
      </w:r>
    </w:p>
    <w:p w14:paraId="47B06602" w14:textId="36D25D8A" w:rsidR="00C07DE7" w:rsidRPr="003D0FEF" w:rsidRDefault="00C07DE7" w:rsidP="007B54D1">
      <w:pPr>
        <w:pStyle w:val="AMCBodyCopy"/>
        <w:spacing w:before="60" w:after="60"/>
      </w:pPr>
      <w:r>
        <w:t xml:space="preserve">Revised </w:t>
      </w:r>
      <w:r w:rsidR="00B47E8F">
        <w:t xml:space="preserve">June </w:t>
      </w:r>
      <w:r>
        <w:t>201</w:t>
      </w:r>
      <w:r w:rsidR="00B47E8F">
        <w:t>6</w:t>
      </w:r>
    </w:p>
    <w:p w14:paraId="47B06603" w14:textId="77777777" w:rsidR="00C07DE7" w:rsidRPr="003D0FEF" w:rsidRDefault="00C07DE7" w:rsidP="00C07DE7">
      <w:pPr>
        <w:jc w:val="both"/>
      </w:pPr>
    </w:p>
    <w:p w14:paraId="47B06604" w14:textId="77777777" w:rsidR="00C07DE7" w:rsidRPr="003D0FEF" w:rsidRDefault="00C07DE7" w:rsidP="00C07DE7">
      <w:pPr>
        <w:jc w:val="both"/>
        <w:sectPr w:rsidR="00C07DE7" w:rsidRPr="003D0FEF" w:rsidSect="00423BEB">
          <w:headerReference w:type="even" r:id="rId8"/>
          <w:headerReference w:type="default" r:id="rId9"/>
          <w:footerReference w:type="even" r:id="rId10"/>
          <w:footerReference w:type="default" r:id="rId11"/>
          <w:headerReference w:type="first" r:id="rId12"/>
          <w:type w:val="continuous"/>
          <w:pgSz w:w="11909" w:h="16834" w:code="9"/>
          <w:pgMar w:top="1700" w:right="1361" w:bottom="1418" w:left="1418" w:header="737" w:footer="1134" w:gutter="0"/>
          <w:pgNumType w:start="1"/>
          <w:cols w:space="720"/>
          <w:titlePg/>
          <w:docGrid w:linePitch="360"/>
        </w:sectPr>
      </w:pPr>
    </w:p>
    <w:p w14:paraId="47B06605" w14:textId="77777777" w:rsidR="00C07DE7" w:rsidRPr="007B54D1" w:rsidRDefault="00C07DE7" w:rsidP="00522018">
      <w:pPr>
        <w:pStyle w:val="AMCBodyCopy"/>
        <w:spacing w:before="120" w:after="120"/>
        <w:jc w:val="right"/>
        <w:rPr>
          <w:b/>
          <w:u w:val="single"/>
        </w:rPr>
      </w:pPr>
      <w:r w:rsidRPr="007B54D1">
        <w:rPr>
          <w:b/>
          <w:u w:val="single"/>
        </w:rPr>
        <w:lastRenderedPageBreak/>
        <w:t>ATTACHMENT 1</w:t>
      </w:r>
    </w:p>
    <w:p w14:paraId="47B06606" w14:textId="77777777" w:rsidR="00C07DE7" w:rsidRPr="007B54D1" w:rsidRDefault="00C07DE7" w:rsidP="00522018">
      <w:pPr>
        <w:pStyle w:val="AMCBodyCopy"/>
        <w:spacing w:before="120" w:after="120"/>
        <w:jc w:val="center"/>
        <w:rPr>
          <w:b/>
          <w:bCs/>
        </w:rPr>
      </w:pPr>
      <w:r w:rsidRPr="007B54D1">
        <w:rPr>
          <w:b/>
          <w:bCs/>
        </w:rPr>
        <w:t>Additional matters considered by the Australian Medical Council in its initial assessment of a proposal to provide a medical program offshore</w:t>
      </w:r>
    </w:p>
    <w:p w14:paraId="47B06607" w14:textId="77777777" w:rsidR="00522018" w:rsidRDefault="00522018" w:rsidP="00522018">
      <w:pPr>
        <w:pStyle w:val="AMCBodyCopy"/>
        <w:spacing w:before="120" w:after="120"/>
      </w:pPr>
    </w:p>
    <w:p w14:paraId="47B06608" w14:textId="77777777" w:rsidR="00C07DE7" w:rsidRPr="00522018" w:rsidRDefault="00C07DE7" w:rsidP="00522018">
      <w:pPr>
        <w:pStyle w:val="AMCBodyCopy"/>
        <w:spacing w:before="120" w:after="120"/>
        <w:rPr>
          <w:u w:val="single"/>
        </w:rPr>
      </w:pPr>
      <w:r w:rsidRPr="00522018">
        <w:rPr>
          <w:u w:val="single"/>
        </w:rPr>
        <w:t>The Contract</w:t>
      </w:r>
    </w:p>
    <w:p w14:paraId="47B06609" w14:textId="77777777" w:rsidR="00C07DE7" w:rsidRPr="003D0FEF" w:rsidRDefault="00C07DE7" w:rsidP="00522018">
      <w:pPr>
        <w:pStyle w:val="AMCBodyCopy"/>
        <w:numPr>
          <w:ilvl w:val="0"/>
          <w:numId w:val="9"/>
        </w:numPr>
        <w:spacing w:before="120" w:after="120"/>
        <w:ind w:left="567" w:hanging="567"/>
      </w:pPr>
      <w:r w:rsidRPr="003D0FEF">
        <w:t>What is the nature of the contract or agreement between the home and offshore university/campus/medical school?  For example:</w:t>
      </w:r>
    </w:p>
    <w:p w14:paraId="47B0660A" w14:textId="77777777" w:rsidR="00C07DE7" w:rsidRPr="003D0FEF" w:rsidRDefault="00C07DE7" w:rsidP="00522018">
      <w:pPr>
        <w:pStyle w:val="AMCBodyCopy"/>
        <w:numPr>
          <w:ilvl w:val="0"/>
          <w:numId w:val="10"/>
        </w:numPr>
        <w:spacing w:before="120" w:after="120"/>
        <w:ind w:left="1134" w:hanging="567"/>
      </w:pPr>
      <w:r w:rsidRPr="003D0FEF">
        <w:t>Are all aspects of the contract clearly stated and responsibilities defined? Are financial responsibilities stated?</w:t>
      </w:r>
    </w:p>
    <w:p w14:paraId="47B0660B" w14:textId="77777777" w:rsidR="00C07DE7" w:rsidRPr="003D0FEF" w:rsidRDefault="00C07DE7" w:rsidP="00522018">
      <w:pPr>
        <w:pStyle w:val="AMCBodyCopy"/>
        <w:numPr>
          <w:ilvl w:val="0"/>
          <w:numId w:val="10"/>
        </w:numPr>
        <w:spacing w:before="120" w:after="120"/>
        <w:ind w:left="1134" w:hanging="567"/>
      </w:pPr>
      <w:r w:rsidRPr="003D0FEF">
        <w:t xml:space="preserve">What consultations took place in the preparation of the contract? </w:t>
      </w:r>
    </w:p>
    <w:p w14:paraId="47B0660C" w14:textId="3F5B3E51" w:rsidR="00C07DE7" w:rsidRPr="003D0FEF" w:rsidRDefault="00C07DE7" w:rsidP="00522018">
      <w:pPr>
        <w:pStyle w:val="AMCBodyCopy"/>
        <w:numPr>
          <w:ilvl w:val="0"/>
          <w:numId w:val="10"/>
        </w:numPr>
        <w:spacing w:before="120" w:after="120"/>
        <w:ind w:left="1134" w:hanging="567"/>
        <w:rPr>
          <w:iCs/>
        </w:rPr>
      </w:pPr>
      <w:r w:rsidRPr="003D0FEF">
        <w:rPr>
          <w:iCs/>
        </w:rPr>
        <w:t xml:space="preserve">How are the governance structures and functions of the accredited </w:t>
      </w:r>
      <w:r>
        <w:rPr>
          <w:iCs/>
        </w:rPr>
        <w:t xml:space="preserve">education provider </w:t>
      </w:r>
      <w:r w:rsidRPr="003D0FEF">
        <w:rPr>
          <w:iCs/>
        </w:rPr>
        <w:t>defined, and how does the local campus/</w:t>
      </w:r>
      <w:r>
        <w:rPr>
          <w:iCs/>
        </w:rPr>
        <w:t>education provider</w:t>
      </w:r>
      <w:r w:rsidRPr="003D0FEF">
        <w:rPr>
          <w:iCs/>
        </w:rPr>
        <w:t xml:space="preserve"> governance </w:t>
      </w:r>
      <w:r w:rsidRPr="003D0FEF">
        <w:t xml:space="preserve">interact with the home university, </w:t>
      </w:r>
      <w:r w:rsidRPr="003D0FEF">
        <w:rPr>
          <w:iCs/>
        </w:rPr>
        <w:t xml:space="preserve">and with other campuses and clinical schools?  </w:t>
      </w:r>
    </w:p>
    <w:p w14:paraId="47B0660D" w14:textId="77777777" w:rsidR="00C07DE7" w:rsidRPr="003D0FEF" w:rsidRDefault="00C07DE7" w:rsidP="00522018">
      <w:pPr>
        <w:pStyle w:val="AMCBodyCopy"/>
        <w:numPr>
          <w:ilvl w:val="0"/>
          <w:numId w:val="10"/>
        </w:numPr>
        <w:spacing w:before="120" w:after="120"/>
        <w:ind w:left="1134" w:hanging="567"/>
      </w:pPr>
      <w:r w:rsidRPr="003D0FEF">
        <w:t xml:space="preserve">Does the contract identify responsibilities for curriculum and assessment, and identify the Australian/New Zealand </w:t>
      </w:r>
      <w:r>
        <w:t xml:space="preserve">higher education provider </w:t>
      </w:r>
      <w:r w:rsidRPr="003D0FEF">
        <w:t>as responsible for academic quality assurance?</w:t>
      </w:r>
    </w:p>
    <w:p w14:paraId="47B0660E" w14:textId="77777777" w:rsidR="00C07DE7" w:rsidRPr="003D0FEF" w:rsidRDefault="00C07DE7" w:rsidP="00522018">
      <w:pPr>
        <w:pStyle w:val="AMCBodyCopy"/>
        <w:numPr>
          <w:ilvl w:val="0"/>
          <w:numId w:val="10"/>
        </w:numPr>
        <w:spacing w:before="120" w:after="120"/>
        <w:ind w:left="1134" w:hanging="567"/>
      </w:pPr>
      <w:r w:rsidRPr="003D0FEF">
        <w:t>Is the contract subject to review?</w:t>
      </w:r>
    </w:p>
    <w:p w14:paraId="47B0660F" w14:textId="1E3955FA" w:rsidR="00C07DE7" w:rsidRPr="003D0FEF" w:rsidRDefault="002F05FD" w:rsidP="00522018">
      <w:pPr>
        <w:pStyle w:val="AMCBodyCopy"/>
        <w:numPr>
          <w:ilvl w:val="0"/>
          <w:numId w:val="11"/>
        </w:numPr>
        <w:spacing w:before="120" w:after="120"/>
        <w:ind w:left="567" w:hanging="567"/>
      </w:pPr>
      <w:r>
        <w:t>Is</w:t>
      </w:r>
      <w:r w:rsidRPr="003D0FEF">
        <w:t xml:space="preserve"> </w:t>
      </w:r>
      <w:r w:rsidR="00C07DE7" w:rsidRPr="003D0FEF">
        <w:t xml:space="preserve">there good communication between </w:t>
      </w:r>
      <w:r w:rsidR="00C07DE7">
        <w:t xml:space="preserve">local and offshore </w:t>
      </w:r>
      <w:r w:rsidR="00C07DE7" w:rsidRPr="003D0FEF">
        <w:t>campuses</w:t>
      </w:r>
      <w:r w:rsidR="00C07DE7">
        <w:t xml:space="preserve"> and senior managers</w:t>
      </w:r>
      <w:r w:rsidR="00C07DE7" w:rsidRPr="003D0FEF">
        <w:t>?</w:t>
      </w:r>
    </w:p>
    <w:p w14:paraId="47B06610" w14:textId="77777777" w:rsidR="00522018" w:rsidRDefault="00522018" w:rsidP="00522018">
      <w:pPr>
        <w:pStyle w:val="AMCBodyCopy"/>
        <w:spacing w:before="120" w:after="120"/>
      </w:pPr>
    </w:p>
    <w:p w14:paraId="47B06611" w14:textId="77777777" w:rsidR="00C07DE7" w:rsidRPr="00522018" w:rsidRDefault="00C07DE7" w:rsidP="00522018">
      <w:pPr>
        <w:pStyle w:val="AMCBodyCopy"/>
        <w:spacing w:before="120" w:after="120"/>
        <w:rPr>
          <w:u w:val="single"/>
        </w:rPr>
      </w:pPr>
      <w:r w:rsidRPr="00522018">
        <w:rPr>
          <w:u w:val="single"/>
        </w:rPr>
        <w:t>Significance of the offshore operation</w:t>
      </w:r>
    </w:p>
    <w:p w14:paraId="47B06612" w14:textId="29FCCEC0" w:rsidR="00C07DE7" w:rsidRPr="003D0FEF" w:rsidRDefault="00C07DE7" w:rsidP="00522018">
      <w:pPr>
        <w:pStyle w:val="AMCBodyCopy"/>
        <w:numPr>
          <w:ilvl w:val="0"/>
          <w:numId w:val="11"/>
        </w:numPr>
        <w:spacing w:before="120" w:after="120"/>
        <w:ind w:left="567" w:hanging="567"/>
      </w:pPr>
      <w:r w:rsidRPr="003D0FEF">
        <w:t xml:space="preserve">How significant is the offshore operation in </w:t>
      </w:r>
      <w:r w:rsidR="00BB2BA3">
        <w:t xml:space="preserve">terms of </w:t>
      </w:r>
      <w:r w:rsidR="00BB2BA3" w:rsidRPr="003D0FEF">
        <w:t>financ</w:t>
      </w:r>
      <w:r w:rsidR="00BB2BA3">
        <w:t>e</w:t>
      </w:r>
      <w:r w:rsidR="00BB2BA3" w:rsidRPr="003D0FEF">
        <w:t xml:space="preserve"> </w:t>
      </w:r>
      <w:r w:rsidR="007E29F0">
        <w:t xml:space="preserve">and </w:t>
      </w:r>
      <w:r w:rsidRPr="003D0FEF">
        <w:t>student numbers?</w:t>
      </w:r>
    </w:p>
    <w:p w14:paraId="47B06613" w14:textId="6294579E" w:rsidR="00C07DE7" w:rsidRPr="003D0FEF" w:rsidRDefault="00C07DE7" w:rsidP="00522018">
      <w:pPr>
        <w:pStyle w:val="AMCBodyCopy"/>
        <w:numPr>
          <w:ilvl w:val="0"/>
          <w:numId w:val="11"/>
        </w:numPr>
        <w:spacing w:before="120" w:after="120"/>
        <w:ind w:left="567" w:hanging="567"/>
      </w:pPr>
      <w:r w:rsidRPr="003D0FEF">
        <w:t>Is it a growing operation</w:t>
      </w:r>
      <w:r w:rsidR="0087045B">
        <w:t xml:space="preserve"> and </w:t>
      </w:r>
      <w:r w:rsidRPr="003D0FEF">
        <w:t xml:space="preserve">strategically significant? </w:t>
      </w:r>
    </w:p>
    <w:p w14:paraId="47B06614" w14:textId="77777777" w:rsidR="00C07DE7" w:rsidRPr="003D0FEF" w:rsidRDefault="00C07DE7" w:rsidP="00522018">
      <w:pPr>
        <w:pStyle w:val="AMCBodyCopy"/>
        <w:numPr>
          <w:ilvl w:val="0"/>
          <w:numId w:val="11"/>
        </w:numPr>
        <w:spacing w:before="120" w:after="120"/>
        <w:ind w:left="567" w:hanging="567"/>
      </w:pPr>
      <w:r w:rsidRPr="003D0FEF">
        <w:t xml:space="preserve">How important is the </w:t>
      </w:r>
      <w:r>
        <w:t xml:space="preserve">program </w:t>
      </w:r>
      <w:r w:rsidRPr="003D0FEF">
        <w:t xml:space="preserve">to both host and parent institution?  </w:t>
      </w:r>
    </w:p>
    <w:p w14:paraId="47B06615" w14:textId="731825C9" w:rsidR="00C07DE7" w:rsidRPr="003D0FEF" w:rsidRDefault="00C07DE7" w:rsidP="00522018">
      <w:pPr>
        <w:pStyle w:val="AMCBodyCopy"/>
        <w:numPr>
          <w:ilvl w:val="0"/>
          <w:numId w:val="11"/>
        </w:numPr>
        <w:spacing w:before="120" w:after="120"/>
        <w:ind w:left="567" w:hanging="567"/>
      </w:pPr>
      <w:r w:rsidRPr="003D0FEF">
        <w:t xml:space="preserve">What award title is proposed? Specifically, is </w:t>
      </w:r>
      <w:r w:rsidR="002F05FD">
        <w:t xml:space="preserve">there </w:t>
      </w:r>
      <w:r w:rsidRPr="003D0FEF">
        <w:t xml:space="preserve">an identical award title to that offered to graduates of the local (Australian or New Zealand) medical </w:t>
      </w:r>
      <w:r w:rsidR="002E715A">
        <w:t xml:space="preserve">program </w:t>
      </w:r>
      <w:r w:rsidRPr="003D0FEF">
        <w:t xml:space="preserve">proposed? </w:t>
      </w:r>
    </w:p>
    <w:p w14:paraId="47B06616" w14:textId="7EAF3E42" w:rsidR="00C07DE7" w:rsidRPr="003D0FEF" w:rsidRDefault="00C07DE7" w:rsidP="00522018">
      <w:pPr>
        <w:pStyle w:val="AMCBodyCopy"/>
        <w:numPr>
          <w:ilvl w:val="0"/>
          <w:numId w:val="11"/>
        </w:numPr>
        <w:spacing w:before="120" w:after="120"/>
        <w:ind w:left="567" w:hanging="567"/>
      </w:pPr>
      <w:r>
        <w:t>If a major change to an already AMC-accredited Australian or New Zealand program</w:t>
      </w:r>
      <w:r w:rsidR="0087045B">
        <w:t xml:space="preserve"> is made</w:t>
      </w:r>
      <w:r>
        <w:t>, a</w:t>
      </w:r>
      <w:r w:rsidRPr="003D0FEF">
        <w:t xml:space="preserve">re the </w:t>
      </w:r>
      <w:r>
        <w:t>learning outcomes</w:t>
      </w:r>
      <w:r w:rsidRPr="003D0FEF">
        <w:t xml:space="preserve">, curriculum, </w:t>
      </w:r>
      <w:r>
        <w:t xml:space="preserve">and </w:t>
      </w:r>
      <w:r w:rsidRPr="003D0FEF">
        <w:t xml:space="preserve">educational process essentially the same as those applying to the </w:t>
      </w:r>
      <w:r>
        <w:t>accredited program</w:t>
      </w:r>
      <w:r w:rsidRPr="003D0FEF">
        <w:t xml:space="preserve">?  </w:t>
      </w:r>
    </w:p>
    <w:p w14:paraId="47B06617" w14:textId="77777777" w:rsidR="00C07DE7" w:rsidRPr="003D0FEF" w:rsidRDefault="00C07DE7" w:rsidP="00522018">
      <w:pPr>
        <w:pStyle w:val="AMCBodyCopy"/>
        <w:numPr>
          <w:ilvl w:val="0"/>
          <w:numId w:val="11"/>
        </w:numPr>
        <w:spacing w:before="120" w:after="120"/>
        <w:ind w:left="567" w:hanging="567"/>
      </w:pPr>
      <w:r w:rsidRPr="003D0FEF">
        <w:t xml:space="preserve">What arrangements </w:t>
      </w:r>
      <w:r>
        <w:t xml:space="preserve">are there </w:t>
      </w:r>
      <w:r w:rsidRPr="003D0FEF">
        <w:t>to provide offshore students with experience and understanding of Australian and New Zealand medicine and practice in these countries?</w:t>
      </w:r>
    </w:p>
    <w:p w14:paraId="47B06618" w14:textId="77777777" w:rsidR="00522018" w:rsidRDefault="00522018" w:rsidP="00522018">
      <w:pPr>
        <w:pStyle w:val="AMCBodyCopy"/>
        <w:spacing w:before="120" w:after="120"/>
        <w:rPr>
          <w:u w:val="single"/>
        </w:rPr>
      </w:pPr>
    </w:p>
    <w:p w14:paraId="47B06619" w14:textId="77777777" w:rsidR="00C07DE7" w:rsidRPr="00522018" w:rsidRDefault="00C07DE7" w:rsidP="00522018">
      <w:pPr>
        <w:pStyle w:val="AMCBodyCopy"/>
        <w:spacing w:before="120" w:after="120"/>
        <w:rPr>
          <w:u w:val="single"/>
        </w:rPr>
      </w:pPr>
      <w:r w:rsidRPr="00522018">
        <w:rPr>
          <w:u w:val="single"/>
        </w:rPr>
        <w:t xml:space="preserve">Risk </w:t>
      </w:r>
    </w:p>
    <w:p w14:paraId="47B0661A" w14:textId="0A30466A" w:rsidR="00C07DE7" w:rsidRPr="003D0FEF" w:rsidRDefault="00C07DE7" w:rsidP="00522018">
      <w:pPr>
        <w:pStyle w:val="AMCBodyCopy"/>
        <w:numPr>
          <w:ilvl w:val="0"/>
          <w:numId w:val="12"/>
        </w:numPr>
        <w:spacing w:before="120" w:after="120"/>
        <w:ind w:left="567" w:hanging="567"/>
      </w:pPr>
      <w:r w:rsidRPr="003D0FEF">
        <w:t>What are the challenges to implementing a curriculum designed for Australia</w:t>
      </w:r>
      <w:r w:rsidR="008F7345">
        <w:t xml:space="preserve"> and</w:t>
      </w:r>
      <w:r w:rsidR="007E29F0">
        <w:t xml:space="preserve"> </w:t>
      </w:r>
      <w:r w:rsidRPr="003D0FEF">
        <w:t xml:space="preserve">New Zealand in a different health system with different disease profiles and a different culture and society?  </w:t>
      </w:r>
    </w:p>
    <w:p w14:paraId="47B0661B" w14:textId="21EA6C40" w:rsidR="00C07DE7" w:rsidRPr="003D0FEF" w:rsidRDefault="00C07DE7" w:rsidP="00522018">
      <w:pPr>
        <w:pStyle w:val="AMCBodyCopy"/>
        <w:numPr>
          <w:ilvl w:val="0"/>
          <w:numId w:val="12"/>
        </w:numPr>
        <w:spacing w:before="120" w:after="120"/>
        <w:ind w:left="567" w:hanging="567"/>
      </w:pPr>
      <w:r w:rsidRPr="003D0FEF">
        <w:t>What are the external sensitivities</w:t>
      </w:r>
      <w:r>
        <w:t xml:space="preserve"> and what </w:t>
      </w:r>
      <w:r w:rsidR="001D6952">
        <w:t xml:space="preserve">are the </w:t>
      </w:r>
      <w:r w:rsidRPr="003D0FEF">
        <w:t xml:space="preserve">risk management systems in place and planned? (For example, would the operation be especially sensitive to changes in the overseas government, government policy, or to changes in the situation of any financial backers) </w:t>
      </w:r>
    </w:p>
    <w:p w14:paraId="47B0661C" w14:textId="790A11EB" w:rsidR="00C07DE7" w:rsidRPr="003D0FEF" w:rsidRDefault="00C07DE7" w:rsidP="00522018">
      <w:pPr>
        <w:pStyle w:val="AMCBodyCopy"/>
        <w:numPr>
          <w:ilvl w:val="0"/>
          <w:numId w:val="12"/>
        </w:numPr>
        <w:spacing w:before="120" w:after="120"/>
        <w:ind w:left="567" w:hanging="567"/>
      </w:pPr>
      <w:r w:rsidRPr="003D0FEF">
        <w:t>W</w:t>
      </w:r>
      <w:r>
        <w:t>ill</w:t>
      </w:r>
      <w:r w:rsidRPr="003D0FEF">
        <w:t xml:space="preserve"> there be </w:t>
      </w:r>
      <w:r w:rsidR="00010344">
        <w:t xml:space="preserve">an </w:t>
      </w:r>
      <w:r w:rsidRPr="003D0FEF">
        <w:t xml:space="preserve">appropriate infrastructure </w:t>
      </w:r>
      <w:r>
        <w:t xml:space="preserve">and learning support </w:t>
      </w:r>
      <w:r w:rsidRPr="003D0FEF">
        <w:t xml:space="preserve">on the offshore campus for students to complete their </w:t>
      </w:r>
      <w:r>
        <w:t>program</w:t>
      </w:r>
      <w:r w:rsidRPr="003D0FEF">
        <w:t xml:space="preserve">?  </w:t>
      </w:r>
    </w:p>
    <w:p w14:paraId="47B0661D" w14:textId="125E542B" w:rsidR="00C07DE7" w:rsidRPr="003D0FEF" w:rsidRDefault="00C07DE7" w:rsidP="00522018">
      <w:pPr>
        <w:pStyle w:val="AMCBodyCopy"/>
        <w:numPr>
          <w:ilvl w:val="0"/>
          <w:numId w:val="12"/>
        </w:numPr>
        <w:spacing w:before="120" w:after="120"/>
        <w:ind w:left="567" w:hanging="567"/>
      </w:pPr>
      <w:r w:rsidRPr="003D0FEF">
        <w:lastRenderedPageBreak/>
        <w:t xml:space="preserve">What </w:t>
      </w:r>
      <w:r w:rsidR="00010344">
        <w:t>is</w:t>
      </w:r>
      <w:r w:rsidR="00010344" w:rsidRPr="003D0FEF">
        <w:t xml:space="preserve"> </w:t>
      </w:r>
      <w:r w:rsidRPr="003D0FEF">
        <w:t xml:space="preserve">the </w:t>
      </w:r>
      <w:r>
        <w:t xml:space="preserve">higher education provider’s </w:t>
      </w:r>
      <w:r w:rsidRPr="003D0FEF">
        <w:t xml:space="preserve">stated responsibilities to enrolled students if the offshore operation winds up? </w:t>
      </w:r>
    </w:p>
    <w:p w14:paraId="47B0661E" w14:textId="77777777" w:rsidR="00522018" w:rsidRDefault="00522018" w:rsidP="00522018">
      <w:pPr>
        <w:pStyle w:val="AMCBodyCopy"/>
        <w:spacing w:before="120" w:after="120"/>
      </w:pPr>
    </w:p>
    <w:p w14:paraId="47B0661F" w14:textId="77777777" w:rsidR="00C07DE7" w:rsidRPr="00522018" w:rsidRDefault="00C07DE7" w:rsidP="00522018">
      <w:pPr>
        <w:pStyle w:val="AMCBodyCopy"/>
        <w:spacing w:before="120" w:after="120"/>
        <w:rPr>
          <w:u w:val="single"/>
        </w:rPr>
      </w:pPr>
      <w:r w:rsidRPr="00522018">
        <w:rPr>
          <w:u w:val="single"/>
        </w:rPr>
        <w:t>Host Country Accreditation</w:t>
      </w:r>
    </w:p>
    <w:p w14:paraId="47B06620" w14:textId="77777777" w:rsidR="00C07DE7" w:rsidRPr="003D0FEF" w:rsidRDefault="00C07DE7" w:rsidP="00522018">
      <w:pPr>
        <w:pStyle w:val="AMCBodyCopy"/>
        <w:numPr>
          <w:ilvl w:val="0"/>
          <w:numId w:val="13"/>
        </w:numPr>
        <w:spacing w:before="120" w:after="120"/>
        <w:ind w:left="567" w:hanging="567"/>
      </w:pPr>
      <w:r w:rsidRPr="003D0FEF">
        <w:t xml:space="preserve">What external quality control mechanisms operate in the host country? </w:t>
      </w:r>
    </w:p>
    <w:p w14:paraId="47B06621" w14:textId="77777777" w:rsidR="00C07DE7" w:rsidRPr="003D0FEF" w:rsidRDefault="00C07DE7" w:rsidP="00522018">
      <w:pPr>
        <w:pStyle w:val="AMCBodyCopy"/>
        <w:numPr>
          <w:ilvl w:val="0"/>
          <w:numId w:val="13"/>
        </w:numPr>
        <w:spacing w:before="120" w:after="120"/>
        <w:ind w:left="567" w:hanging="567"/>
      </w:pPr>
      <w:r w:rsidRPr="003D0FEF">
        <w:t xml:space="preserve">Could the AMC assessment of the </w:t>
      </w:r>
      <w:r>
        <w:t xml:space="preserve">program </w:t>
      </w:r>
      <w:r w:rsidRPr="003D0FEF">
        <w:t xml:space="preserve">proposal build on these processes? </w:t>
      </w:r>
    </w:p>
    <w:p w14:paraId="47B06622" w14:textId="47CFA965" w:rsidR="00C07DE7" w:rsidRPr="003D0FEF" w:rsidRDefault="00C07DE7" w:rsidP="00522018">
      <w:pPr>
        <w:pStyle w:val="AMCBodyCopy"/>
        <w:numPr>
          <w:ilvl w:val="0"/>
          <w:numId w:val="13"/>
        </w:numPr>
        <w:spacing w:before="120" w:after="120"/>
        <w:ind w:left="567" w:hanging="567"/>
      </w:pPr>
      <w:r w:rsidRPr="003D0FEF">
        <w:t xml:space="preserve">Could the AMC rely on </w:t>
      </w:r>
      <w:r w:rsidR="001D6952">
        <w:t xml:space="preserve">the </w:t>
      </w:r>
      <w:r w:rsidRPr="003D0FEF">
        <w:t xml:space="preserve">cooperation </w:t>
      </w:r>
      <w:r w:rsidR="001D6952">
        <w:t>of</w:t>
      </w:r>
      <w:r w:rsidR="001D6952" w:rsidRPr="003D0FEF">
        <w:t xml:space="preserve"> </w:t>
      </w:r>
      <w:r w:rsidRPr="003D0FEF">
        <w:t>the host country agency</w:t>
      </w:r>
      <w:r w:rsidR="001D6952">
        <w:t>,</w:t>
      </w:r>
      <w:r w:rsidRPr="003D0FEF">
        <w:t xml:space="preserve"> both in the assessment and in the monitoring of the course</w:t>
      </w:r>
      <w:r w:rsidR="001D6952">
        <w:t>,</w:t>
      </w:r>
      <w:r w:rsidRPr="003D0FEF">
        <w:t xml:space="preserve"> following accreditation?</w:t>
      </w:r>
    </w:p>
    <w:p w14:paraId="47B06623" w14:textId="77777777" w:rsidR="00C07DE7" w:rsidRPr="00522018" w:rsidRDefault="00C07DE7" w:rsidP="00522018">
      <w:pPr>
        <w:pStyle w:val="AMCBodyCopy"/>
        <w:spacing w:before="120" w:after="120"/>
        <w:rPr>
          <w:u w:val="single"/>
        </w:rPr>
      </w:pPr>
    </w:p>
    <w:p w14:paraId="47B06624" w14:textId="77777777" w:rsidR="00C07DE7" w:rsidRPr="00522018" w:rsidRDefault="00C07DE7" w:rsidP="00522018">
      <w:pPr>
        <w:pStyle w:val="AMCBodyCopy"/>
        <w:spacing w:before="120" w:after="120"/>
        <w:rPr>
          <w:u w:val="single"/>
        </w:rPr>
      </w:pPr>
      <w:r w:rsidRPr="00522018">
        <w:rPr>
          <w:u w:val="single"/>
        </w:rPr>
        <w:t>Quality Assurance</w:t>
      </w:r>
    </w:p>
    <w:p w14:paraId="47B06625" w14:textId="77777777" w:rsidR="00C07DE7" w:rsidRPr="003D0FEF" w:rsidRDefault="00C07DE7" w:rsidP="00522018">
      <w:pPr>
        <w:pStyle w:val="AMCBodyCopy"/>
        <w:numPr>
          <w:ilvl w:val="0"/>
          <w:numId w:val="13"/>
        </w:numPr>
        <w:spacing w:before="120" w:after="120"/>
        <w:ind w:left="567" w:hanging="567"/>
      </w:pPr>
      <w:r w:rsidRPr="003D0FEF">
        <w:t xml:space="preserve">Does the parent university have a comprehensive quality assurance plan for teaching and learning in an offshore situation? </w:t>
      </w:r>
    </w:p>
    <w:p w14:paraId="47B06626" w14:textId="04A2753E" w:rsidR="00C07DE7" w:rsidRPr="003D0FEF" w:rsidRDefault="00C07DE7" w:rsidP="00522018">
      <w:pPr>
        <w:pStyle w:val="AMCBodyCopy"/>
        <w:numPr>
          <w:ilvl w:val="0"/>
          <w:numId w:val="13"/>
        </w:numPr>
        <w:spacing w:before="120" w:after="120"/>
        <w:ind w:left="567" w:hanging="567"/>
      </w:pPr>
      <w:r w:rsidRPr="003D0FEF">
        <w:t>How is performance against the plan assessed?</w:t>
      </w:r>
    </w:p>
    <w:p w14:paraId="47B06627" w14:textId="086E781C" w:rsidR="00C07DE7" w:rsidRPr="00C57620" w:rsidRDefault="00C07DE7" w:rsidP="00522018">
      <w:pPr>
        <w:pStyle w:val="AMCBodyCopy"/>
        <w:numPr>
          <w:ilvl w:val="0"/>
          <w:numId w:val="13"/>
        </w:numPr>
        <w:spacing w:before="120" w:after="120"/>
        <w:ind w:left="567" w:hanging="567"/>
        <w:rPr>
          <w:b/>
          <w:bCs/>
        </w:rPr>
      </w:pPr>
      <w:r w:rsidRPr="003D0FEF">
        <w:t xml:space="preserve">Has the parent university’s offshore operations been audited by </w:t>
      </w:r>
      <w:r>
        <w:t xml:space="preserve">TEQSA </w:t>
      </w:r>
      <w:r w:rsidRPr="003D0FEF">
        <w:t xml:space="preserve">or </w:t>
      </w:r>
      <w:r w:rsidR="001D6952">
        <w:t xml:space="preserve">a </w:t>
      </w:r>
      <w:r w:rsidRPr="003D0FEF">
        <w:t>similar New Zealand body?</w:t>
      </w:r>
    </w:p>
    <w:p w14:paraId="47B06628" w14:textId="77777777" w:rsidR="00C07DE7" w:rsidRPr="00C57620" w:rsidRDefault="00C07DE7" w:rsidP="00522018">
      <w:pPr>
        <w:pStyle w:val="AMCBodyCopy"/>
        <w:numPr>
          <w:ilvl w:val="0"/>
          <w:numId w:val="13"/>
        </w:numPr>
        <w:spacing w:before="120" w:after="120"/>
        <w:ind w:left="567" w:hanging="567"/>
        <w:rPr>
          <w:b/>
          <w:bCs/>
          <w:color w:val="FF0000"/>
        </w:rPr>
      </w:pPr>
      <w:r w:rsidRPr="00C57620">
        <w:rPr>
          <w:color w:val="FF0000"/>
        </w:rPr>
        <w:t xml:space="preserve">How is the quality of </w:t>
      </w:r>
      <w:r>
        <w:rPr>
          <w:color w:val="FF0000"/>
        </w:rPr>
        <w:t>clinical teaching, supervision and assessment assured in the offshore clinical training facilities?</w:t>
      </w:r>
    </w:p>
    <w:p w14:paraId="47B06629" w14:textId="77777777" w:rsidR="00C07DE7" w:rsidRPr="003D0FEF" w:rsidRDefault="00C07DE7" w:rsidP="007B54D1">
      <w:pPr>
        <w:pStyle w:val="AMCBodyCopy"/>
      </w:pPr>
    </w:p>
    <w:p w14:paraId="47B0662A" w14:textId="77777777" w:rsidR="00C07DE7" w:rsidRPr="003D0FEF" w:rsidRDefault="00C07DE7" w:rsidP="007B54D1">
      <w:pPr>
        <w:pStyle w:val="AMCBodyCopy"/>
      </w:pPr>
    </w:p>
    <w:p w14:paraId="47B0662B" w14:textId="77777777" w:rsidR="00C07DE7" w:rsidRPr="003D0FEF" w:rsidRDefault="00C07DE7" w:rsidP="007B54D1">
      <w:pPr>
        <w:pStyle w:val="AMCBodyCopy"/>
      </w:pPr>
    </w:p>
    <w:p w14:paraId="47B0662C" w14:textId="77777777" w:rsidR="00C07DE7" w:rsidRPr="003D0FEF" w:rsidRDefault="00C07DE7" w:rsidP="007B54D1">
      <w:pPr>
        <w:pStyle w:val="AMCBodyCopy"/>
        <w:rPr>
          <w:b/>
          <w:bCs/>
        </w:rPr>
      </w:pPr>
    </w:p>
    <w:p w14:paraId="47B0662D" w14:textId="77777777" w:rsidR="00C07DE7" w:rsidRPr="003D0FEF" w:rsidRDefault="00C07DE7" w:rsidP="007B54D1">
      <w:pPr>
        <w:pStyle w:val="AMCBodyCopy"/>
        <w:rPr>
          <w:b/>
          <w:bCs/>
        </w:rPr>
        <w:sectPr w:rsidR="00C07DE7" w:rsidRPr="003D0FEF" w:rsidSect="00C6357F">
          <w:headerReference w:type="first" r:id="rId13"/>
          <w:pgSz w:w="11909" w:h="16834" w:code="9"/>
          <w:pgMar w:top="1247" w:right="1418" w:bottom="1361" w:left="1418" w:header="907" w:footer="907" w:gutter="0"/>
          <w:cols w:space="720"/>
          <w:titlePg/>
          <w:docGrid w:linePitch="360"/>
        </w:sectPr>
      </w:pPr>
    </w:p>
    <w:p w14:paraId="47B0662E" w14:textId="77777777" w:rsidR="00C07DE7" w:rsidRPr="00522018" w:rsidRDefault="00C07DE7" w:rsidP="00522018">
      <w:pPr>
        <w:pStyle w:val="AMCBodyCopy"/>
        <w:spacing w:before="120" w:after="120"/>
        <w:jc w:val="right"/>
        <w:rPr>
          <w:b/>
          <w:u w:val="single"/>
        </w:rPr>
      </w:pPr>
      <w:r w:rsidRPr="00522018">
        <w:rPr>
          <w:b/>
          <w:u w:val="single"/>
        </w:rPr>
        <w:lastRenderedPageBreak/>
        <w:t>ATTACHMENT 2</w:t>
      </w:r>
    </w:p>
    <w:p w14:paraId="47B0662F" w14:textId="77777777" w:rsidR="00C07DE7" w:rsidRPr="003D0FEF" w:rsidRDefault="00C07DE7" w:rsidP="00522018">
      <w:pPr>
        <w:pStyle w:val="AMCBodyCopy"/>
        <w:spacing w:before="120" w:after="120"/>
        <w:jc w:val="center"/>
        <w:rPr>
          <w:b/>
          <w:bCs/>
        </w:rPr>
      </w:pPr>
      <w:r w:rsidRPr="003D0FEF">
        <w:rPr>
          <w:b/>
          <w:bCs/>
        </w:rPr>
        <w:t xml:space="preserve">The structure and content of an AMC visit to assess a proposal to </w:t>
      </w:r>
      <w:r>
        <w:rPr>
          <w:b/>
          <w:bCs/>
        </w:rPr>
        <w:t xml:space="preserve">provide </w:t>
      </w:r>
      <w:r w:rsidRPr="003D0FEF">
        <w:rPr>
          <w:b/>
          <w:bCs/>
        </w:rPr>
        <w:t>a</w:t>
      </w:r>
      <w:r>
        <w:rPr>
          <w:b/>
          <w:bCs/>
        </w:rPr>
        <w:t xml:space="preserve"> </w:t>
      </w:r>
      <w:r w:rsidRPr="003D0FEF">
        <w:rPr>
          <w:b/>
          <w:bCs/>
        </w:rPr>
        <w:t xml:space="preserve">medical </w:t>
      </w:r>
      <w:r>
        <w:rPr>
          <w:b/>
          <w:bCs/>
        </w:rPr>
        <w:t xml:space="preserve">program </w:t>
      </w:r>
      <w:r w:rsidRPr="003D0FEF">
        <w:rPr>
          <w:b/>
          <w:bCs/>
        </w:rPr>
        <w:t>offshore</w:t>
      </w:r>
    </w:p>
    <w:p w14:paraId="47B06630" w14:textId="77777777" w:rsidR="00C07DE7" w:rsidRPr="003D0FEF" w:rsidRDefault="00C07DE7" w:rsidP="00522018">
      <w:pPr>
        <w:pStyle w:val="AMCBodyCopy"/>
        <w:spacing w:before="120" w:after="120"/>
      </w:pPr>
    </w:p>
    <w:p w14:paraId="47B06631" w14:textId="77777777" w:rsidR="00C07DE7" w:rsidRPr="003D0FEF" w:rsidRDefault="00C07DE7" w:rsidP="00522018">
      <w:pPr>
        <w:pStyle w:val="AMCBodyCopy"/>
        <w:spacing w:before="120" w:after="120"/>
        <w:rPr>
          <w:b/>
          <w:bCs/>
        </w:rPr>
      </w:pPr>
      <w:r w:rsidRPr="003D0FEF">
        <w:t xml:space="preserve">There are a number of procedural matters that would flow from a decision by the AMC to assess a </w:t>
      </w:r>
      <w:r w:rsidRPr="003D0FEF">
        <w:rPr>
          <w:bCs/>
        </w:rPr>
        <w:t xml:space="preserve">proposal to </w:t>
      </w:r>
      <w:r>
        <w:rPr>
          <w:bCs/>
        </w:rPr>
        <w:t xml:space="preserve">provide </w:t>
      </w:r>
      <w:r w:rsidRPr="003D0FEF">
        <w:rPr>
          <w:bCs/>
        </w:rPr>
        <w:t>a</w:t>
      </w:r>
      <w:r>
        <w:rPr>
          <w:bCs/>
        </w:rPr>
        <w:t xml:space="preserve"> </w:t>
      </w:r>
      <w:r w:rsidRPr="003D0FEF">
        <w:rPr>
          <w:bCs/>
        </w:rPr>
        <w:t xml:space="preserve">medical </w:t>
      </w:r>
      <w:r>
        <w:rPr>
          <w:bCs/>
        </w:rPr>
        <w:t xml:space="preserve">program </w:t>
      </w:r>
      <w:r w:rsidRPr="003D0FEF">
        <w:rPr>
          <w:bCs/>
        </w:rPr>
        <w:t>offshore.</w:t>
      </w:r>
    </w:p>
    <w:p w14:paraId="47B06632" w14:textId="77777777" w:rsidR="00C07DE7" w:rsidRPr="003D0FEF" w:rsidRDefault="00C07DE7" w:rsidP="00522018">
      <w:pPr>
        <w:pStyle w:val="AMCBodyCopy"/>
        <w:spacing w:before="120" w:after="120"/>
      </w:pPr>
    </w:p>
    <w:p w14:paraId="47B06633" w14:textId="77777777" w:rsidR="00C07DE7" w:rsidRPr="003D0FEF" w:rsidRDefault="00C07DE7" w:rsidP="00522018">
      <w:pPr>
        <w:pStyle w:val="AMCBodyCopy"/>
        <w:numPr>
          <w:ilvl w:val="0"/>
          <w:numId w:val="14"/>
        </w:numPr>
        <w:spacing w:before="120" w:after="120"/>
        <w:ind w:left="567" w:hanging="567"/>
        <w:rPr>
          <w:b/>
          <w:bCs/>
        </w:rPr>
      </w:pPr>
      <w:r w:rsidRPr="003D0FEF">
        <w:rPr>
          <w:b/>
          <w:bCs/>
        </w:rPr>
        <w:t xml:space="preserve">Protocol issues associated with an AMC team conducting an assessment overseas </w:t>
      </w:r>
    </w:p>
    <w:p w14:paraId="47B06634" w14:textId="48C59031" w:rsidR="00C07DE7" w:rsidRPr="003D0FEF" w:rsidRDefault="00C07DE7" w:rsidP="00522018">
      <w:pPr>
        <w:pStyle w:val="AMCBodyCopy"/>
        <w:spacing w:before="120" w:after="120"/>
      </w:pPr>
      <w:r w:rsidRPr="003D0FEF">
        <w:t>These might include: informing the local health department of the visit, arranging to meet the medical school accreditation authority or medical registration board</w:t>
      </w:r>
      <w:r>
        <w:t xml:space="preserve"> in the offshore country</w:t>
      </w:r>
      <w:r w:rsidR="005541FB">
        <w:t xml:space="preserve"> </w:t>
      </w:r>
      <w:r w:rsidR="005B06EE">
        <w:t>where</w:t>
      </w:r>
      <w:r w:rsidR="005541FB">
        <w:t xml:space="preserve"> necessary</w:t>
      </w:r>
      <w:r w:rsidRPr="003D0FEF">
        <w:t>, informing the chief executives of any hospitals to be visited of the purpose of the visit</w:t>
      </w:r>
      <w:r w:rsidR="005541FB">
        <w:t>,</w:t>
      </w:r>
      <w:r w:rsidRPr="003D0FEF">
        <w:t xml:space="preserve"> and seeking support for the team to visit local hospitals.</w:t>
      </w:r>
    </w:p>
    <w:p w14:paraId="47B06635" w14:textId="3C9E17D0" w:rsidR="00C07DE7" w:rsidRPr="003D0FEF" w:rsidRDefault="00C07DE7" w:rsidP="00522018">
      <w:pPr>
        <w:pStyle w:val="AMCBodyCopy"/>
        <w:spacing w:before="120" w:after="120"/>
      </w:pPr>
      <w:r w:rsidRPr="003D0FEF">
        <w:t>The AMC expect</w:t>
      </w:r>
      <w:r>
        <w:t>s</w:t>
      </w:r>
      <w:r w:rsidRPr="003D0FEF">
        <w:t xml:space="preserve"> the </w:t>
      </w:r>
      <w:r>
        <w:t>education provider</w:t>
      </w:r>
      <w:r w:rsidRPr="003D0FEF">
        <w:t xml:space="preserve"> being </w:t>
      </w:r>
      <w:r>
        <w:t xml:space="preserve">assessed </w:t>
      </w:r>
      <w:r w:rsidRPr="003D0FEF">
        <w:t>to arrange all the required meetings.  The AMC write</w:t>
      </w:r>
      <w:r>
        <w:t>s</w:t>
      </w:r>
      <w:r w:rsidRPr="003D0FEF">
        <w:t xml:space="preserve"> to local authorities to advise the purpose and nature of the team’s visit, through the </w:t>
      </w:r>
      <w:r>
        <w:t xml:space="preserve">Australian Government </w:t>
      </w:r>
      <w:r w:rsidRPr="003D0FEF">
        <w:t>Department of Health</w:t>
      </w:r>
      <w:r w:rsidR="000419AB">
        <w:t>.</w:t>
      </w:r>
    </w:p>
    <w:p w14:paraId="47B06636" w14:textId="77777777" w:rsidR="00C07DE7" w:rsidRPr="003D0FEF" w:rsidRDefault="00C07DE7" w:rsidP="00522018">
      <w:pPr>
        <w:pStyle w:val="AMCBodyCopy"/>
        <w:spacing w:before="120" w:after="120"/>
      </w:pPr>
    </w:p>
    <w:p w14:paraId="47B06637" w14:textId="77777777" w:rsidR="00C07DE7" w:rsidRPr="003D0FEF" w:rsidRDefault="00C07DE7" w:rsidP="00522018">
      <w:pPr>
        <w:pStyle w:val="AMCBodyCopy"/>
        <w:numPr>
          <w:ilvl w:val="0"/>
          <w:numId w:val="14"/>
        </w:numPr>
        <w:spacing w:before="120" w:after="120"/>
        <w:ind w:left="567" w:hanging="567"/>
        <w:rPr>
          <w:b/>
          <w:bCs/>
        </w:rPr>
      </w:pPr>
      <w:r w:rsidRPr="003D0FEF">
        <w:rPr>
          <w:b/>
          <w:bCs/>
        </w:rPr>
        <w:t xml:space="preserve">Timing of the assessment </w:t>
      </w:r>
    </w:p>
    <w:p w14:paraId="47B06638" w14:textId="2548C0D4" w:rsidR="00C07DE7" w:rsidRPr="003D0FEF" w:rsidRDefault="00C07DE7" w:rsidP="00522018">
      <w:pPr>
        <w:pStyle w:val="AMCBodyCopy"/>
        <w:spacing w:before="120" w:after="120"/>
      </w:pPr>
      <w:r w:rsidRPr="003D0FEF">
        <w:t xml:space="preserve">Medical school accreditation visits are usually conducted in a one-week block.  The team spends the first day meeting major curriculum and management groups. This day provides an overview of the </w:t>
      </w:r>
      <w:r>
        <w:t>program</w:t>
      </w:r>
      <w:r w:rsidRPr="003D0FEF">
        <w:t xml:space="preserve"> and the </w:t>
      </w:r>
      <w:r>
        <w:t>provider</w:t>
      </w:r>
      <w:r w:rsidRPr="003D0FEF">
        <w:t>. The team then breaks into sub-teams</w:t>
      </w:r>
      <w:r w:rsidR="00F37F8F">
        <w:t>,</w:t>
      </w:r>
      <w:r w:rsidRPr="003D0FEF">
        <w:t xml:space="preserve"> review</w:t>
      </w:r>
      <w:r w:rsidR="00F37F8F">
        <w:t>ing</w:t>
      </w:r>
      <w:r w:rsidRPr="003D0FEF">
        <w:t xml:space="preserve"> particular components of the program in detail.  Teams spend one or two days during the week visiting clinical teaching sites. </w:t>
      </w:r>
    </w:p>
    <w:p w14:paraId="47B06639" w14:textId="481FBE18" w:rsidR="00C07DE7" w:rsidRPr="003D0FEF" w:rsidRDefault="00C07DE7" w:rsidP="00522018">
      <w:pPr>
        <w:pStyle w:val="AMCBodyCopy"/>
        <w:spacing w:before="120" w:after="120"/>
      </w:pPr>
      <w:r w:rsidRPr="003D0FEF">
        <w:t>The assessment of an offshore campus</w:t>
      </w:r>
      <w:r w:rsidR="007E29F0">
        <w:t xml:space="preserve"> </w:t>
      </w:r>
      <w:r w:rsidRPr="003D0FEF">
        <w:t>/</w:t>
      </w:r>
      <w:r w:rsidR="007E29F0">
        <w:t xml:space="preserve"> </w:t>
      </w:r>
      <w:r w:rsidRPr="003D0FEF">
        <w:t xml:space="preserve">clinical school </w:t>
      </w:r>
      <w:r>
        <w:t xml:space="preserve">normally </w:t>
      </w:r>
      <w:r w:rsidRPr="003D0FEF">
        <w:t>take</w:t>
      </w:r>
      <w:r>
        <w:t>s</w:t>
      </w:r>
      <w:r w:rsidRPr="003D0FEF">
        <w:t xml:space="preserve"> place in conjunction with an AMC assessment of the medical </w:t>
      </w:r>
      <w:r>
        <w:t>program and education provider</w:t>
      </w:r>
      <w:r w:rsidRPr="003D0FEF">
        <w:t xml:space="preserve">.  </w:t>
      </w:r>
    </w:p>
    <w:p w14:paraId="47B0663A" w14:textId="77777777" w:rsidR="00C07DE7" w:rsidRPr="003D0FEF" w:rsidRDefault="00C07DE7" w:rsidP="00522018">
      <w:pPr>
        <w:pStyle w:val="AMCBodyCopy"/>
        <w:spacing w:before="120" w:after="120"/>
      </w:pPr>
    </w:p>
    <w:p w14:paraId="47B0663B" w14:textId="77777777" w:rsidR="00C07DE7" w:rsidRPr="003D0FEF" w:rsidRDefault="00C07DE7" w:rsidP="00522018">
      <w:pPr>
        <w:pStyle w:val="AMCBodyCopy"/>
        <w:numPr>
          <w:ilvl w:val="0"/>
          <w:numId w:val="14"/>
        </w:numPr>
        <w:spacing w:before="120" w:after="120"/>
        <w:ind w:left="567" w:hanging="567"/>
        <w:rPr>
          <w:b/>
          <w:bCs/>
        </w:rPr>
      </w:pPr>
      <w:r w:rsidRPr="003D0FEF">
        <w:rPr>
          <w:b/>
          <w:bCs/>
        </w:rPr>
        <w:t xml:space="preserve">The visiting team  </w:t>
      </w:r>
    </w:p>
    <w:p w14:paraId="47B0663C" w14:textId="77777777" w:rsidR="00C07DE7" w:rsidRPr="003D0FEF" w:rsidRDefault="00C07DE7" w:rsidP="00522018">
      <w:pPr>
        <w:pStyle w:val="AMCBodyCopy"/>
        <w:spacing w:before="120" w:after="120"/>
      </w:pPr>
      <w:r w:rsidRPr="003D0FEF">
        <w:t>AMC teams comprise a mix of assessors from various Australian States</w:t>
      </w:r>
      <w:r>
        <w:t xml:space="preserve"> and territories</w:t>
      </w:r>
      <w:r w:rsidRPr="003D0FEF">
        <w:t xml:space="preserve"> and New Zealand, a </w:t>
      </w:r>
      <w:r>
        <w:t>number of education providers</w:t>
      </w:r>
      <w:r w:rsidRPr="003D0FEF">
        <w:t>, the basic and the clinical disciplines, hospital and community-based teachers and experienced academic managers.  Teams may also include medical students, community/health consumer members, hospital managers, or me</w:t>
      </w:r>
      <w:r>
        <w:t>mbers of regulatory bodies</w:t>
      </w:r>
      <w:r w:rsidRPr="003D0FEF">
        <w:t>.</w:t>
      </w:r>
    </w:p>
    <w:p w14:paraId="47B0663D" w14:textId="37C131E4" w:rsidR="00C07DE7" w:rsidRPr="003D0FEF" w:rsidRDefault="00C07DE7" w:rsidP="00522018">
      <w:pPr>
        <w:pStyle w:val="AMCBodyCopy"/>
        <w:spacing w:before="120" w:after="120"/>
      </w:pPr>
      <w:r w:rsidRPr="003D0FEF">
        <w:t>The AMC anticipates that a team assessing an offshore course offering would be similarly structured.  Teams would normally include the following:</w:t>
      </w:r>
    </w:p>
    <w:p w14:paraId="5B9BFAEB" w14:textId="77777777" w:rsidR="007E29F0" w:rsidRDefault="00C07DE7" w:rsidP="007E29F0">
      <w:pPr>
        <w:pStyle w:val="AMCBodyCopy"/>
        <w:numPr>
          <w:ilvl w:val="3"/>
          <w:numId w:val="17"/>
        </w:numPr>
        <w:spacing w:before="120" w:after="120"/>
        <w:ind w:left="567" w:hanging="567"/>
      </w:pPr>
      <w:r>
        <w:t>If the program is already accredited by the AMC for offering in Australia or New Zealand, o</w:t>
      </w:r>
      <w:r w:rsidRPr="003D0FEF">
        <w:t xml:space="preserve">ne or more members of the AMC team that had assessed the Australian or New Zealand based </w:t>
      </w:r>
      <w:r>
        <w:t xml:space="preserve">education provider </w:t>
      </w:r>
      <w:r w:rsidRPr="003D0FEF">
        <w:t xml:space="preserve">and medical </w:t>
      </w:r>
      <w:r>
        <w:t>program</w:t>
      </w:r>
      <w:r w:rsidR="007E29F0">
        <w:t>.</w:t>
      </w:r>
    </w:p>
    <w:p w14:paraId="7286A0FC" w14:textId="09F5FAAB" w:rsidR="007E29F0" w:rsidRDefault="00C07DE7" w:rsidP="007E29F0">
      <w:pPr>
        <w:pStyle w:val="AMCBodyCopy"/>
        <w:numPr>
          <w:ilvl w:val="3"/>
          <w:numId w:val="17"/>
        </w:numPr>
        <w:spacing w:before="120" w:after="120"/>
        <w:ind w:left="567" w:hanging="567"/>
      </w:pPr>
      <w:r w:rsidRPr="003D0FEF">
        <w:t xml:space="preserve">One or more team members with </w:t>
      </w:r>
      <w:r w:rsidR="000419AB">
        <w:t xml:space="preserve">the </w:t>
      </w:r>
      <w:r w:rsidRPr="003D0FEF">
        <w:t xml:space="preserve">understanding of particular strengths and weaknesses of medical education and training in the country where the </w:t>
      </w:r>
      <w:r>
        <w:t xml:space="preserve">program </w:t>
      </w:r>
      <w:r w:rsidRPr="003D0FEF">
        <w:t>is to be offered. The AMC consult</w:t>
      </w:r>
      <w:r>
        <w:t>s</w:t>
      </w:r>
      <w:r w:rsidRPr="003D0FEF">
        <w:t xml:space="preserve"> the local medical school accreditation authority, and registration </w:t>
      </w:r>
      <w:r>
        <w:t>authority, if any,</w:t>
      </w:r>
      <w:r w:rsidRPr="003D0FEF">
        <w:t xml:space="preserve"> when it makes its</w:t>
      </w:r>
      <w:r w:rsidR="007E29F0">
        <w:t xml:space="preserve"> selection. </w:t>
      </w:r>
    </w:p>
    <w:p w14:paraId="47B06641" w14:textId="77777777" w:rsidR="00594CD7" w:rsidRDefault="00594CD7" w:rsidP="000419AB">
      <w:pPr>
        <w:pStyle w:val="AMCBodyCopy"/>
        <w:spacing w:before="120" w:after="120"/>
      </w:pPr>
    </w:p>
    <w:sectPr w:rsidR="00594CD7" w:rsidSect="00A2237B">
      <w:footerReference w:type="default" r:id="rId14"/>
      <w:type w:val="continuous"/>
      <w:pgSz w:w="11900" w:h="16840" w:code="9"/>
      <w:pgMar w:top="1418" w:right="1418" w:bottom="1701" w:left="1418" w:header="1134" w:footer="141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A74A7" w14:textId="77777777" w:rsidR="00F77B2E" w:rsidRDefault="00F77B2E">
      <w:r>
        <w:separator/>
      </w:r>
    </w:p>
  </w:endnote>
  <w:endnote w:type="continuationSeparator" w:id="0">
    <w:p w14:paraId="3C58C612" w14:textId="77777777" w:rsidR="00F77B2E" w:rsidRDefault="00F7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vantGarde-Demi">
    <w:altName w:val="Times New Roman"/>
    <w:panose1 w:val="00000000000000000000"/>
    <w:charset w:val="4D"/>
    <w:family w:val="auto"/>
    <w:notTrueType/>
    <w:pitch w:val="default"/>
    <w:sig w:usb0="00000003" w:usb1="00000000" w:usb2="00000000" w:usb3="00000000" w:csb0="00000001" w:csb1="00000000"/>
  </w:font>
  <w:font w:name="HelveticaNeueCE-Medium">
    <w:altName w:val="Times New Roman"/>
    <w:panose1 w:val="00000000000000000000"/>
    <w:charset w:val="FE"/>
    <w:family w:val="auto"/>
    <w:notTrueType/>
    <w:pitch w:val="default"/>
    <w:sig w:usb0="00000003" w:usb1="00000000" w:usb2="00000000" w:usb3="00000000" w:csb0="00000000"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6650" w14:textId="77777777" w:rsidR="004F36A9" w:rsidRDefault="004F36A9" w:rsidP="00C63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B06651" w14:textId="77777777" w:rsidR="004F36A9" w:rsidRDefault="004F3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6652" w14:textId="059B690A" w:rsidR="004F36A9" w:rsidRDefault="004F36A9" w:rsidP="00C63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D80">
      <w:rPr>
        <w:rStyle w:val="PageNumber"/>
        <w:noProof/>
      </w:rPr>
      <w:t>10</w:t>
    </w:r>
    <w:r>
      <w:rPr>
        <w:rStyle w:val="PageNumber"/>
      </w:rPr>
      <w:fldChar w:fldCharType="end"/>
    </w:r>
  </w:p>
  <w:p w14:paraId="47B06653" w14:textId="77777777" w:rsidR="004F36A9" w:rsidRDefault="004F36A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8990"/>
      <w:docPartObj>
        <w:docPartGallery w:val="Page Numbers (Bottom of Page)"/>
        <w:docPartUnique/>
      </w:docPartObj>
    </w:sdtPr>
    <w:sdtEndPr>
      <w:rPr>
        <w:noProof/>
      </w:rPr>
    </w:sdtEndPr>
    <w:sdtContent>
      <w:p w14:paraId="47B06657" w14:textId="77777777" w:rsidR="004F36A9" w:rsidRDefault="004F36A9">
        <w:pPr>
          <w:pStyle w:val="Footer"/>
          <w:jc w:val="right"/>
        </w:pPr>
        <w:r>
          <w:fldChar w:fldCharType="begin"/>
        </w:r>
        <w:r>
          <w:instrText xml:space="preserve"> PAGE   \* MERGEFORMAT </w:instrText>
        </w:r>
        <w:r>
          <w:fldChar w:fldCharType="separate"/>
        </w:r>
        <w:r w:rsidR="007E29F0">
          <w:rPr>
            <w:noProof/>
          </w:rPr>
          <w:t>2</w:t>
        </w:r>
        <w:r>
          <w:rPr>
            <w:noProof/>
          </w:rPr>
          <w:fldChar w:fldCharType="end"/>
        </w:r>
      </w:p>
    </w:sdtContent>
  </w:sdt>
  <w:p w14:paraId="47B06658" w14:textId="77777777" w:rsidR="004F36A9" w:rsidRDefault="004F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CC9F4" w14:textId="77777777" w:rsidR="00F77B2E" w:rsidRDefault="00F77B2E">
      <w:r>
        <w:separator/>
      </w:r>
    </w:p>
  </w:footnote>
  <w:footnote w:type="continuationSeparator" w:id="0">
    <w:p w14:paraId="251D7240" w14:textId="77777777" w:rsidR="00F77B2E" w:rsidRDefault="00F77B2E">
      <w:r>
        <w:continuationSeparator/>
      </w:r>
    </w:p>
  </w:footnote>
  <w:footnote w:id="1">
    <w:p w14:paraId="47B0665B" w14:textId="77777777" w:rsidR="004F36A9" w:rsidRDefault="004F36A9" w:rsidP="00C07DE7">
      <w:pPr>
        <w:pStyle w:val="FootnoteText"/>
      </w:pPr>
      <w:r>
        <w:rPr>
          <w:rStyle w:val="FootnoteReference"/>
        </w:rPr>
        <w:footnoteRef/>
      </w:r>
      <w:r>
        <w:t xml:space="preserve"> Constitution of the Australian Medical Council Limited </w:t>
      </w:r>
    </w:p>
  </w:footnote>
  <w:footnote w:id="2">
    <w:p w14:paraId="47B0665C" w14:textId="5E683A03" w:rsidR="004F36A9" w:rsidRPr="00BE3182" w:rsidRDefault="004F36A9" w:rsidP="00C07DE7">
      <w:pPr>
        <w:pStyle w:val="FootnoteText"/>
      </w:pPr>
      <w:r>
        <w:rPr>
          <w:rStyle w:val="FootnoteReference"/>
        </w:rPr>
        <w:footnoteRef/>
      </w:r>
      <w:r>
        <w:t xml:space="preserve"> </w:t>
      </w:r>
      <w:r w:rsidRPr="00BE3182">
        <w:rPr>
          <w:b/>
          <w:bCs/>
          <w:i/>
          <w:iCs/>
        </w:rPr>
        <w:t xml:space="preserve">Accreditation </w:t>
      </w:r>
      <w:r w:rsidR="00583E33" w:rsidRPr="00BE3182">
        <w:rPr>
          <w:b/>
          <w:bCs/>
          <w:i/>
          <w:iCs/>
        </w:rPr>
        <w:t>standard</w:t>
      </w:r>
      <w:r w:rsidR="00583E33">
        <w:rPr>
          <w:b/>
          <w:bCs/>
          <w:i/>
          <w:iCs/>
        </w:rPr>
        <w:t>,</w:t>
      </w:r>
      <w:r w:rsidRPr="00BE3182">
        <w:t xml:space="preserve"> for a health profession, means a standard used to assess whether a program of study, and the education provider that provides the program of study, provide persons who complete the program with the knowledge, skills and professional attributes necessary to practise the profession in Australia (Section 5 of the National Law).</w:t>
      </w:r>
      <w:r w:rsidR="003A49C7">
        <w:t xml:space="preserve"> The approved accreditation standards relevant for this policy are Standards for the Assessment and Accreditation of Primary Medical Programs by the Australian Medical Council</w:t>
      </w:r>
      <w:r w:rsidR="0014693E">
        <w:t>.</w:t>
      </w:r>
      <w:r w:rsidR="003A49C7">
        <w:t xml:space="preserve">   </w:t>
      </w:r>
    </w:p>
  </w:footnote>
  <w:footnote w:id="3">
    <w:p w14:paraId="47B0665D" w14:textId="77777777" w:rsidR="004F36A9" w:rsidRDefault="004F36A9" w:rsidP="00C07DE7">
      <w:pPr>
        <w:pStyle w:val="FootnoteText"/>
      </w:pPr>
      <w:r>
        <w:rPr>
          <w:rStyle w:val="FootnoteReference"/>
        </w:rPr>
        <w:footnoteRef/>
      </w:r>
      <w:r>
        <w:t xml:space="preserve"> </w:t>
      </w:r>
      <w:hyperlink r:id="rId1" w:history="1">
        <w:r w:rsidRPr="00A86D9F">
          <w:rPr>
            <w:rStyle w:val="Hyperlink"/>
          </w:rPr>
          <w:t>http://www.teqsa.gov.au/about</w:t>
        </w:r>
      </w:hyperlink>
    </w:p>
  </w:footnote>
  <w:footnote w:id="4">
    <w:p w14:paraId="47B0665E" w14:textId="77777777" w:rsidR="004F36A9" w:rsidRDefault="004F36A9" w:rsidP="00C07DE7">
      <w:pPr>
        <w:pStyle w:val="FootnoteText"/>
      </w:pPr>
      <w:r>
        <w:rPr>
          <w:rStyle w:val="FootnoteReference"/>
        </w:rPr>
        <w:footnoteRef/>
      </w:r>
      <w:r>
        <w:t xml:space="preserve"> </w:t>
      </w:r>
      <w:hyperlink r:id="rId2" w:history="1">
        <w:r w:rsidRPr="003738D1">
          <w:rPr>
            <w:rStyle w:val="Hyperlink"/>
          </w:rPr>
          <w:t>http://www.aqa.ac.nz/sites/all/files/AQA%20UNZ%20QA%20Brochure%202013.pdf</w:t>
        </w:r>
      </w:hyperlink>
    </w:p>
  </w:footnote>
  <w:footnote w:id="5">
    <w:p w14:paraId="47B0665F" w14:textId="77777777" w:rsidR="004F36A9" w:rsidRDefault="004F36A9" w:rsidP="00C07DE7">
      <w:pPr>
        <w:pStyle w:val="FootnoteText"/>
      </w:pPr>
      <w:r>
        <w:rPr>
          <w:rStyle w:val="FootnoteReference"/>
        </w:rPr>
        <w:footnoteRef/>
      </w:r>
      <w:r>
        <w:t xml:space="preserve"> Information Paper: TEQSA’s approach to regulating the offshore provision of regulated HE awards September 2013</w:t>
      </w:r>
    </w:p>
  </w:footnote>
  <w:footnote w:id="6">
    <w:p w14:paraId="47B06660" w14:textId="07411D87" w:rsidR="004F36A9" w:rsidRDefault="004F36A9" w:rsidP="00C07DE7">
      <w:pPr>
        <w:pStyle w:val="FootnoteText"/>
      </w:pPr>
      <w:r>
        <w:rPr>
          <w:rStyle w:val="FootnoteReference"/>
        </w:rPr>
        <w:footnoteRef/>
      </w:r>
      <w:r>
        <w:t xml:space="preserve"> A</w:t>
      </w:r>
      <w:r w:rsidRPr="006756DE">
        <w:t xml:space="preserve"> major change in a medical </w:t>
      </w:r>
      <w:r>
        <w:t>program i</w:t>
      </w:r>
      <w:r w:rsidRPr="006756DE">
        <w:t xml:space="preserve">s a change in the length or format of the </w:t>
      </w:r>
      <w:r>
        <w:t>program</w:t>
      </w:r>
      <w:r w:rsidRPr="006756DE">
        <w:t>, including the introduction of new distinct streams; a significant change in objectives; a substantial change in educational philosophy, emphasis or institutional setting</w:t>
      </w:r>
      <w:r>
        <w:t>; and/or a substantial change in student numbers relative to resources</w:t>
      </w:r>
      <w:r w:rsidRPr="006756DE">
        <w:t xml:space="preserve">.  Significant changes forced by a major reduction in resources leading to an inability to achieve the objectives of the existing </w:t>
      </w:r>
      <w:r>
        <w:t xml:space="preserve">program </w:t>
      </w:r>
      <w:r w:rsidRPr="006756DE">
        <w:t>are also major changes.</w:t>
      </w:r>
      <w:r>
        <w:t>”</w:t>
      </w:r>
    </w:p>
  </w:footnote>
  <w:footnote w:id="7">
    <w:p w14:paraId="47B06661" w14:textId="77777777" w:rsidR="00355BC9" w:rsidRPr="00355BC9" w:rsidRDefault="00355BC9">
      <w:pPr>
        <w:pStyle w:val="FootnoteText"/>
        <w:rPr>
          <w:strike/>
        </w:rPr>
      </w:pPr>
      <w:r>
        <w:rPr>
          <w:rStyle w:val="FootnoteReference"/>
        </w:rPr>
        <w:footnoteRef/>
      </w:r>
      <w:r>
        <w:t xml:space="preserve"> In this section proposed changes to the </w:t>
      </w:r>
      <w:r w:rsidR="000F50F4">
        <w:t xml:space="preserve">criteria </w:t>
      </w:r>
      <w:r>
        <w:t xml:space="preserve">are marked as follows: proposed additions are shown in red, and proposed deletions are shown in </w:t>
      </w:r>
      <w:r>
        <w:rPr>
          <w:strike/>
        </w:rPr>
        <w:t>strikethrough</w:t>
      </w:r>
    </w:p>
  </w:footnote>
  <w:footnote w:id="8">
    <w:p w14:paraId="47B06662" w14:textId="33C4396F" w:rsidR="004F36A9" w:rsidRDefault="004F36A9" w:rsidP="00C07DE7">
      <w:r w:rsidRPr="00B80D21">
        <w:rPr>
          <w:rStyle w:val="FootnoteReference"/>
        </w:rPr>
        <w:footnoteRef/>
      </w:r>
      <w:r w:rsidRPr="00B80D21">
        <w:t xml:space="preserve"> </w:t>
      </w:r>
      <w:r w:rsidRPr="00B80D21">
        <w:rPr>
          <w:sz w:val="20"/>
        </w:rPr>
        <w:t xml:space="preserve">Australian Medical Council, </w:t>
      </w:r>
      <w:r w:rsidRPr="00B80D21">
        <w:rPr>
          <w:bCs/>
          <w:i/>
          <w:iCs/>
          <w:sz w:val="20"/>
          <w:szCs w:val="32"/>
        </w:rPr>
        <w:t xml:space="preserve">Preparing a Submission for Assessment of an Offshore Offering of an AMC Accredited Medical Course: A Guide for Medical Schools, </w:t>
      </w:r>
    </w:p>
  </w:footnote>
  <w:footnote w:id="9">
    <w:p w14:paraId="47B06663" w14:textId="230C7A47" w:rsidR="004F36A9" w:rsidRDefault="004F36A9" w:rsidP="00C07DE7">
      <w:pPr>
        <w:pStyle w:val="FootnoteText"/>
      </w:pPr>
      <w:r>
        <w:rPr>
          <w:rStyle w:val="FootnoteReference"/>
        </w:rPr>
        <w:footnoteRef/>
      </w:r>
      <w:r>
        <w:t xml:space="preserve"> The provider might distinguish a program offered completely offshore from the AMC-accredited</w:t>
      </w:r>
      <w:r w:rsidRPr="003D0FEF">
        <w:t xml:space="preserve"> </w:t>
      </w:r>
      <w:r>
        <w:t xml:space="preserve">Australian/New Zealand offered </w:t>
      </w:r>
      <w:r w:rsidRPr="003D0FEF">
        <w:t>program</w:t>
      </w:r>
      <w:r>
        <w:t>, for example</w:t>
      </w:r>
      <w:r w:rsidR="0070765D">
        <w:t>,</w:t>
      </w:r>
      <w:r>
        <w:t xml:space="preserve"> by offering a different </w:t>
      </w:r>
      <w:r w:rsidRPr="003D0FEF">
        <w:t>award</w:t>
      </w:r>
      <w:r>
        <w:t>.</w:t>
      </w:r>
    </w:p>
  </w:footnote>
  <w:footnote w:id="10">
    <w:p w14:paraId="6449CBD8" w14:textId="77777777" w:rsidR="0064638D" w:rsidRDefault="0064638D" w:rsidP="0064638D">
      <w:pPr>
        <w:pStyle w:val="FootnoteText"/>
      </w:pPr>
      <w:r>
        <w:rPr>
          <w:rStyle w:val="FootnoteReference"/>
        </w:rPr>
        <w:footnoteRef/>
      </w:r>
      <w:r>
        <w:t xml:space="preserve"> Standards for the Assessment and Accreditation of Primary Medical Programs by the Australian Medical Council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664C" w14:textId="77777777" w:rsidR="004F36A9" w:rsidRDefault="004F36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B0664D" w14:textId="77777777" w:rsidR="004F36A9" w:rsidRDefault="004F3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664E" w14:textId="77777777" w:rsidR="004F36A9" w:rsidRPr="0003339D" w:rsidRDefault="004F36A9">
    <w:pPr>
      <w:pStyle w:val="Header"/>
      <w:framePr w:wrap="around" w:vAnchor="text" w:hAnchor="margin" w:xAlign="center" w:y="1"/>
      <w:rPr>
        <w:rStyle w:val="PageNumber"/>
        <w:sz w:val="20"/>
        <w:szCs w:val="20"/>
      </w:rPr>
    </w:pPr>
  </w:p>
  <w:p w14:paraId="47B0664F" w14:textId="77777777" w:rsidR="004F36A9" w:rsidRPr="0003339D" w:rsidRDefault="004F36A9" w:rsidP="00271B6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6654" w14:textId="77777777" w:rsidR="004F36A9" w:rsidRDefault="004F36A9" w:rsidP="00C6357F">
    <w:pPr>
      <w:jc w:val="center"/>
      <w:rPr>
        <w:sz w:val="28"/>
        <w:szCs w:val="28"/>
      </w:rPr>
    </w:pPr>
    <w:r>
      <w:rPr>
        <w:noProof/>
        <w:lang w:eastAsia="en-AU"/>
      </w:rPr>
      <w:drawing>
        <wp:inline distT="0" distB="0" distL="0" distR="0" wp14:anchorId="47B06659" wp14:editId="5458080C">
          <wp:extent cx="5201107" cy="718574"/>
          <wp:effectExtent l="0" t="0" r="0" b="0"/>
          <wp:docPr id="2" name="Picture 2" descr="AMC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_CMYK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8999" cy="72104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6656" w14:textId="77777777" w:rsidR="004F36A9" w:rsidRPr="0003339D" w:rsidRDefault="004F36A9" w:rsidP="00C6357F">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9AF"/>
    <w:multiLevelType w:val="hybridMultilevel"/>
    <w:tmpl w:val="38C0873A"/>
    <w:lvl w:ilvl="0" w:tplc="628CFB82">
      <w:start w:val="1"/>
      <w:numFmt w:val="decimal"/>
      <w:pStyle w:val="AMCH3Heading"/>
      <w:lvlText w:val="%1."/>
      <w:lvlJc w:val="left"/>
      <w:pPr>
        <w:ind w:left="720" w:hanging="360"/>
      </w:pPr>
      <w:rPr>
        <w:color w:val="000000"/>
        <w:sz w:val="22"/>
        <w:szCs w:val="22"/>
      </w:rPr>
    </w:lvl>
    <w:lvl w:ilvl="1" w:tplc="CAAE306A">
      <w:start w:val="1"/>
      <w:numFmt w:val="lowerRoman"/>
      <w:lvlText w:val="%2."/>
      <w:lvlJc w:val="left"/>
      <w:pPr>
        <w:ind w:left="1800" w:hanging="72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862867"/>
    <w:multiLevelType w:val="hybridMultilevel"/>
    <w:tmpl w:val="7930A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ED0817"/>
    <w:multiLevelType w:val="hybridMultilevel"/>
    <w:tmpl w:val="1740637E"/>
    <w:lvl w:ilvl="0" w:tplc="58A4FE9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54425"/>
    <w:multiLevelType w:val="hybridMultilevel"/>
    <w:tmpl w:val="103E94E2"/>
    <w:lvl w:ilvl="0" w:tplc="6412839A">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B60DBD"/>
    <w:multiLevelType w:val="hybridMultilevel"/>
    <w:tmpl w:val="B95A61A2"/>
    <w:lvl w:ilvl="0" w:tplc="11429514">
      <w:start w:val="1"/>
      <w:numFmt w:val="bullet"/>
      <w:lvlText w:val=""/>
      <w:lvlJc w:val="left"/>
      <w:pPr>
        <w:ind w:left="720" w:hanging="360"/>
      </w:pPr>
      <w:rPr>
        <w:rFonts w:ascii="Symbol" w:hAnsi="Symbol" w:hint="default"/>
        <w:sz w:val="16"/>
      </w:rPr>
    </w:lvl>
    <w:lvl w:ilvl="1" w:tplc="10086B38">
      <w:start w:val="1"/>
      <w:numFmt w:val="bullet"/>
      <w:lvlText w:val="o"/>
      <w:lvlJc w:val="left"/>
      <w:pPr>
        <w:ind w:left="1440" w:hanging="360"/>
      </w:pPr>
      <w:rPr>
        <w:rFonts w:ascii="Courier New" w:hAnsi="Courier New" w:cs="Courier New"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1C5D47"/>
    <w:multiLevelType w:val="hybridMultilevel"/>
    <w:tmpl w:val="304EABEC"/>
    <w:lvl w:ilvl="0" w:tplc="6412839A">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4611BA"/>
    <w:multiLevelType w:val="hybridMultilevel"/>
    <w:tmpl w:val="A1F48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7B69FF"/>
    <w:multiLevelType w:val="hybridMultilevel"/>
    <w:tmpl w:val="785A9C4A"/>
    <w:lvl w:ilvl="0" w:tplc="6412839A">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C41B57"/>
    <w:multiLevelType w:val="hybridMultilevel"/>
    <w:tmpl w:val="1B980578"/>
    <w:lvl w:ilvl="0" w:tplc="13005BB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26298E"/>
    <w:multiLevelType w:val="hybridMultilevel"/>
    <w:tmpl w:val="CBDC5DF4"/>
    <w:lvl w:ilvl="0" w:tplc="13005BB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480F55"/>
    <w:multiLevelType w:val="hybridMultilevel"/>
    <w:tmpl w:val="56F6A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8A0EE704">
      <w:start w:val="1"/>
      <w:numFmt w:val="bullet"/>
      <w:lvlText w:val=""/>
      <w:lvlJc w:val="left"/>
      <w:pPr>
        <w:ind w:left="2520" w:hanging="360"/>
      </w:pPr>
      <w:rPr>
        <w:rFonts w:ascii="Symbol" w:hAnsi="Symbol" w:hint="default"/>
        <w:sz w:val="16"/>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2C0E0F"/>
    <w:multiLevelType w:val="multilevel"/>
    <w:tmpl w:val="D3949610"/>
    <w:lvl w:ilvl="0">
      <w:start w:val="1"/>
      <w:numFmt w:val="none"/>
      <w:pStyle w:val="AMCListBulletStd"/>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Arial" w:hAnsi="Arial"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350772D"/>
    <w:multiLevelType w:val="multilevel"/>
    <w:tmpl w:val="EE20CFDA"/>
    <w:lvl w:ilvl="0">
      <w:start w:val="1"/>
      <w:numFmt w:val="decimal"/>
      <w:lvlText w:val="%1."/>
      <w:lvlJc w:val="left"/>
      <w:pPr>
        <w:tabs>
          <w:tab w:val="num" w:pos="1440"/>
        </w:tabs>
        <w:ind w:left="1440" w:hanging="360"/>
      </w:pPr>
      <w:rPr>
        <w:rFonts w:hint="default"/>
      </w:rPr>
    </w:lvl>
    <w:lvl w:ilvl="1">
      <w:start w:val="1"/>
      <w:numFmt w:val="bullet"/>
      <w:pStyle w:val="Style1"/>
      <w:lvlText w:val=""/>
      <w:lvlJc w:val="left"/>
      <w:pPr>
        <w:tabs>
          <w:tab w:val="num" w:pos="1134"/>
        </w:tabs>
        <w:ind w:left="1134" w:hanging="567"/>
      </w:pPr>
      <w:rPr>
        <w:rFonts w:ascii="Symbol" w:hAnsi="Symbol" w:hint="default"/>
        <w:sz w:val="22"/>
      </w:rPr>
    </w:lvl>
    <w:lvl w:ilvl="2">
      <w:start w:val="1"/>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570A6885"/>
    <w:multiLevelType w:val="hybridMultilevel"/>
    <w:tmpl w:val="16725FF6"/>
    <w:lvl w:ilvl="0" w:tplc="13005BB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E95593"/>
    <w:multiLevelType w:val="multilevel"/>
    <w:tmpl w:val="8000FA8E"/>
    <w:lvl w:ilvl="0">
      <w:start w:val="1"/>
      <w:numFmt w:val="decimal"/>
      <w:pStyle w:val="AMCListNumberStd"/>
      <w:lvlText w:val="%1."/>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b w:val="0"/>
        <w:i/>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decimal"/>
      <w:lvlText w:val="%4."/>
      <w:lvlJc w:val="left"/>
      <w:pPr>
        <w:tabs>
          <w:tab w:val="num" w:pos="2268"/>
        </w:tabs>
        <w:ind w:left="2268" w:hanging="567"/>
      </w:pPr>
      <w:rPr>
        <w:rFonts w:ascii="Arial" w:hAnsi="Arial" w:hint="default"/>
        <w:b w:val="0"/>
        <w:i w:val="0"/>
        <w:sz w:val="22"/>
      </w:rPr>
    </w:lvl>
    <w:lvl w:ilvl="4">
      <w:start w:val="1"/>
      <w:numFmt w:val="lowerLetter"/>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3402"/>
        </w:tabs>
        <w:ind w:left="3402" w:hanging="567"/>
      </w:pPr>
      <w:rPr>
        <w:rFonts w:ascii="Arial" w:hAnsi="Arial" w:hint="default"/>
        <w:b w:val="0"/>
        <w:i w:val="0"/>
        <w:sz w:val="22"/>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5" w15:restartNumberingAfterBreak="0">
    <w:nsid w:val="76310594"/>
    <w:multiLevelType w:val="hybridMultilevel"/>
    <w:tmpl w:val="9844DC32"/>
    <w:lvl w:ilvl="0" w:tplc="E5E05C42">
      <w:start w:val="1"/>
      <w:numFmt w:val="bullet"/>
      <w:lvlText w:val="o"/>
      <w:lvlJc w:val="left"/>
      <w:pPr>
        <w:ind w:left="720" w:hanging="360"/>
      </w:pPr>
      <w:rPr>
        <w:rFonts w:ascii="Courier New" w:hAnsi="Courier New" w:cs="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375537"/>
    <w:multiLevelType w:val="hybridMultilevel"/>
    <w:tmpl w:val="AF9EF322"/>
    <w:lvl w:ilvl="0" w:tplc="58A4FE9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6"/>
  </w:num>
  <w:num w:numId="5">
    <w:abstractNumId w:val="2"/>
  </w:num>
  <w:num w:numId="6">
    <w:abstractNumId w:val="5"/>
  </w:num>
  <w:num w:numId="7">
    <w:abstractNumId w:val="3"/>
  </w:num>
  <w:num w:numId="8">
    <w:abstractNumId w:val="7"/>
  </w:num>
  <w:num w:numId="9">
    <w:abstractNumId w:val="16"/>
  </w:num>
  <w:num w:numId="10">
    <w:abstractNumId w:val="15"/>
  </w:num>
  <w:num w:numId="11">
    <w:abstractNumId w:val="13"/>
  </w:num>
  <w:num w:numId="12">
    <w:abstractNumId w:val="8"/>
  </w:num>
  <w:num w:numId="13">
    <w:abstractNumId w:val="9"/>
  </w:num>
  <w:num w:numId="14">
    <w:abstractNumId w:val="1"/>
  </w:num>
  <w:num w:numId="15">
    <w:abstractNumId w:val="4"/>
  </w:num>
  <w:num w:numId="16">
    <w:abstractNumId w:val="0"/>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FD"/>
    <w:rsid w:val="0000504D"/>
    <w:rsid w:val="00010344"/>
    <w:rsid w:val="00017583"/>
    <w:rsid w:val="0002195E"/>
    <w:rsid w:val="0002660F"/>
    <w:rsid w:val="000309E6"/>
    <w:rsid w:val="000347F4"/>
    <w:rsid w:val="000419AB"/>
    <w:rsid w:val="000462F5"/>
    <w:rsid w:val="00050EF4"/>
    <w:rsid w:val="00051517"/>
    <w:rsid w:val="00064EF3"/>
    <w:rsid w:val="0008213B"/>
    <w:rsid w:val="00083AFD"/>
    <w:rsid w:val="000D3F5F"/>
    <w:rsid w:val="000D658F"/>
    <w:rsid w:val="000E4F86"/>
    <w:rsid w:val="000F50F4"/>
    <w:rsid w:val="00112707"/>
    <w:rsid w:val="0014693E"/>
    <w:rsid w:val="0016511E"/>
    <w:rsid w:val="001738C6"/>
    <w:rsid w:val="00180CD0"/>
    <w:rsid w:val="00181347"/>
    <w:rsid w:val="00183507"/>
    <w:rsid w:val="001D6952"/>
    <w:rsid w:val="001E5AC7"/>
    <w:rsid w:val="00204D2C"/>
    <w:rsid w:val="00225FE8"/>
    <w:rsid w:val="00231F2B"/>
    <w:rsid w:val="0023744E"/>
    <w:rsid w:val="0025304F"/>
    <w:rsid w:val="00254AB3"/>
    <w:rsid w:val="00271B66"/>
    <w:rsid w:val="002836EA"/>
    <w:rsid w:val="00286C9E"/>
    <w:rsid w:val="002A634B"/>
    <w:rsid w:val="002E2F2E"/>
    <w:rsid w:val="002E37B8"/>
    <w:rsid w:val="002E6A4E"/>
    <w:rsid w:val="002E715A"/>
    <w:rsid w:val="002F05FD"/>
    <w:rsid w:val="00304127"/>
    <w:rsid w:val="00342D2A"/>
    <w:rsid w:val="00350BEE"/>
    <w:rsid w:val="003537C0"/>
    <w:rsid w:val="00355BC9"/>
    <w:rsid w:val="00360DDC"/>
    <w:rsid w:val="003701E7"/>
    <w:rsid w:val="00382A1D"/>
    <w:rsid w:val="003A49C7"/>
    <w:rsid w:val="003F3CF8"/>
    <w:rsid w:val="00403E68"/>
    <w:rsid w:val="00423BEB"/>
    <w:rsid w:val="00463AB5"/>
    <w:rsid w:val="00485D62"/>
    <w:rsid w:val="004B716E"/>
    <w:rsid w:val="004C346D"/>
    <w:rsid w:val="004E2A73"/>
    <w:rsid w:val="004E6E60"/>
    <w:rsid w:val="004E7A98"/>
    <w:rsid w:val="004F36A9"/>
    <w:rsid w:val="00511715"/>
    <w:rsid w:val="005132D6"/>
    <w:rsid w:val="005143D8"/>
    <w:rsid w:val="00522018"/>
    <w:rsid w:val="00531FDC"/>
    <w:rsid w:val="00540093"/>
    <w:rsid w:val="00545FA9"/>
    <w:rsid w:val="00546685"/>
    <w:rsid w:val="005541FB"/>
    <w:rsid w:val="00567144"/>
    <w:rsid w:val="005753B9"/>
    <w:rsid w:val="00583E33"/>
    <w:rsid w:val="00594CD7"/>
    <w:rsid w:val="005B06EE"/>
    <w:rsid w:val="005B14C4"/>
    <w:rsid w:val="005E2175"/>
    <w:rsid w:val="005E747F"/>
    <w:rsid w:val="00615624"/>
    <w:rsid w:val="00626E67"/>
    <w:rsid w:val="00642260"/>
    <w:rsid w:val="0064638D"/>
    <w:rsid w:val="00662508"/>
    <w:rsid w:val="00677B1E"/>
    <w:rsid w:val="006873F3"/>
    <w:rsid w:val="00691BB4"/>
    <w:rsid w:val="006F1C9C"/>
    <w:rsid w:val="0070765D"/>
    <w:rsid w:val="00713C56"/>
    <w:rsid w:val="00716546"/>
    <w:rsid w:val="00724EA1"/>
    <w:rsid w:val="00746622"/>
    <w:rsid w:val="00756910"/>
    <w:rsid w:val="007673B4"/>
    <w:rsid w:val="00772B82"/>
    <w:rsid w:val="00782EF2"/>
    <w:rsid w:val="007844D9"/>
    <w:rsid w:val="00794949"/>
    <w:rsid w:val="007B54D1"/>
    <w:rsid w:val="007D2E86"/>
    <w:rsid w:val="007E29F0"/>
    <w:rsid w:val="007E5A2F"/>
    <w:rsid w:val="007F1985"/>
    <w:rsid w:val="00807C52"/>
    <w:rsid w:val="008106B1"/>
    <w:rsid w:val="008120D7"/>
    <w:rsid w:val="0083286D"/>
    <w:rsid w:val="00832AF4"/>
    <w:rsid w:val="00835D80"/>
    <w:rsid w:val="0087045B"/>
    <w:rsid w:val="00877084"/>
    <w:rsid w:val="008A0BBA"/>
    <w:rsid w:val="008C542E"/>
    <w:rsid w:val="008E186F"/>
    <w:rsid w:val="008F13EE"/>
    <w:rsid w:val="008F7345"/>
    <w:rsid w:val="00916E8C"/>
    <w:rsid w:val="00917FFE"/>
    <w:rsid w:val="009A304A"/>
    <w:rsid w:val="009B39D5"/>
    <w:rsid w:val="009F77DD"/>
    <w:rsid w:val="00A00A17"/>
    <w:rsid w:val="00A2237B"/>
    <w:rsid w:val="00A34091"/>
    <w:rsid w:val="00A459B5"/>
    <w:rsid w:val="00A70867"/>
    <w:rsid w:val="00A77066"/>
    <w:rsid w:val="00A871ED"/>
    <w:rsid w:val="00A96435"/>
    <w:rsid w:val="00A97D4D"/>
    <w:rsid w:val="00AD0A63"/>
    <w:rsid w:val="00AF0048"/>
    <w:rsid w:val="00B47E8F"/>
    <w:rsid w:val="00B54103"/>
    <w:rsid w:val="00B56484"/>
    <w:rsid w:val="00B6241D"/>
    <w:rsid w:val="00B80D21"/>
    <w:rsid w:val="00B925D9"/>
    <w:rsid w:val="00BB2BA3"/>
    <w:rsid w:val="00BB42B9"/>
    <w:rsid w:val="00BC52F7"/>
    <w:rsid w:val="00C0482F"/>
    <w:rsid w:val="00C07DE7"/>
    <w:rsid w:val="00C619C5"/>
    <w:rsid w:val="00C6357F"/>
    <w:rsid w:val="00CB1DE4"/>
    <w:rsid w:val="00CB74E0"/>
    <w:rsid w:val="00CD034E"/>
    <w:rsid w:val="00CD2EF1"/>
    <w:rsid w:val="00CD35FA"/>
    <w:rsid w:val="00CF3E17"/>
    <w:rsid w:val="00D133E0"/>
    <w:rsid w:val="00D1721C"/>
    <w:rsid w:val="00D236F6"/>
    <w:rsid w:val="00D558ED"/>
    <w:rsid w:val="00D61284"/>
    <w:rsid w:val="00D66228"/>
    <w:rsid w:val="00D72F5A"/>
    <w:rsid w:val="00D77C83"/>
    <w:rsid w:val="00DD32B0"/>
    <w:rsid w:val="00DF2B36"/>
    <w:rsid w:val="00DF52C5"/>
    <w:rsid w:val="00E04226"/>
    <w:rsid w:val="00E05650"/>
    <w:rsid w:val="00E2050D"/>
    <w:rsid w:val="00E26FF5"/>
    <w:rsid w:val="00E3030F"/>
    <w:rsid w:val="00E33AE0"/>
    <w:rsid w:val="00E357E2"/>
    <w:rsid w:val="00E35C9D"/>
    <w:rsid w:val="00E36D26"/>
    <w:rsid w:val="00E45D62"/>
    <w:rsid w:val="00E65B14"/>
    <w:rsid w:val="00E863C5"/>
    <w:rsid w:val="00EA07F1"/>
    <w:rsid w:val="00EC2790"/>
    <w:rsid w:val="00ED7329"/>
    <w:rsid w:val="00F133E1"/>
    <w:rsid w:val="00F37773"/>
    <w:rsid w:val="00F37F8F"/>
    <w:rsid w:val="00F440CC"/>
    <w:rsid w:val="00F73A1D"/>
    <w:rsid w:val="00F77B2E"/>
    <w:rsid w:val="00F8704E"/>
    <w:rsid w:val="00FE55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47B065A3"/>
  <w15:docId w15:val="{19A2D8B0-E5A6-482B-9D4A-CFC9E35D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DA"/>
    <w:pPr>
      <w:spacing w:before="120" w:after="120" w:line="260" w:lineRule="atLeast"/>
    </w:pPr>
    <w:rPr>
      <w:rFonts w:ascii="Arial" w:hAnsi="Arial"/>
      <w:sz w:val="22"/>
      <w:szCs w:val="24"/>
      <w:lang w:eastAsia="en-US"/>
    </w:rPr>
  </w:style>
  <w:style w:type="paragraph" w:styleId="Heading1">
    <w:name w:val="heading 1"/>
    <w:basedOn w:val="Normal"/>
    <w:next w:val="Normal"/>
    <w:qFormat/>
    <w:rsid w:val="004B3EDA"/>
    <w:pPr>
      <w:spacing w:after="550" w:line="440" w:lineRule="atLeast"/>
      <w:contextualSpacing/>
      <w:outlineLvl w:val="0"/>
    </w:pPr>
    <w:rPr>
      <w:rFonts w:ascii="Century Gothic" w:hAnsi="Century Gothic" w:cs="AvantGarde-Demi"/>
      <w:b/>
      <w:color w:val="656565"/>
      <w:sz w:val="50"/>
      <w:szCs w:val="50"/>
    </w:rPr>
  </w:style>
  <w:style w:type="paragraph" w:styleId="Heading2">
    <w:name w:val="heading 2"/>
    <w:basedOn w:val="Normal"/>
    <w:next w:val="Normal"/>
    <w:qFormat/>
    <w:rsid w:val="00C07DE7"/>
    <w:pPr>
      <w:keepNext/>
      <w:spacing w:before="240" w:after="240" w:line="220" w:lineRule="atLeast"/>
      <w:jc w:val="both"/>
      <w:outlineLvl w:val="1"/>
    </w:pPr>
    <w:rPr>
      <w:rFonts w:cs="HelveticaNeueCE-Medium"/>
      <w:b/>
      <w:sz w:val="28"/>
      <w:szCs w:val="22"/>
    </w:rPr>
  </w:style>
  <w:style w:type="paragraph" w:styleId="Heading3">
    <w:name w:val="heading 3"/>
    <w:basedOn w:val="Normal"/>
    <w:next w:val="Normal"/>
    <w:qFormat/>
    <w:rsid w:val="004B3EDA"/>
    <w:pPr>
      <w:keepNext/>
      <w:spacing w:before="320" w:line="220" w:lineRule="atLeast"/>
      <w:outlineLvl w:val="2"/>
    </w:pPr>
    <w:rPr>
      <w:rFonts w:cs="HelveticaNeueCE-Medium"/>
      <w:b/>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CBodyCopy">
    <w:name w:val="AMC Body Copy"/>
    <w:link w:val="AMCBodyCopyChar"/>
    <w:qFormat/>
    <w:rsid w:val="00C07DE7"/>
    <w:pPr>
      <w:tabs>
        <w:tab w:val="left" w:pos="567"/>
      </w:tabs>
      <w:spacing w:before="180" w:after="180" w:line="260" w:lineRule="atLeast"/>
      <w:jc w:val="both"/>
    </w:pPr>
    <w:rPr>
      <w:rFonts w:ascii="Arial" w:hAnsi="Arial" w:cs="HelveticaNeueCE-Light"/>
      <w:color w:val="000000"/>
      <w:sz w:val="22"/>
      <w:szCs w:val="18"/>
      <w:lang w:eastAsia="en-US"/>
    </w:rPr>
  </w:style>
  <w:style w:type="paragraph" w:styleId="Footer">
    <w:name w:val="footer"/>
    <w:aliases w:val="AMC Footer"/>
    <w:basedOn w:val="Normal"/>
    <w:link w:val="FooterChar"/>
    <w:rsid w:val="004B3EDA"/>
    <w:pPr>
      <w:tabs>
        <w:tab w:val="left" w:pos="567"/>
        <w:tab w:val="left" w:pos="1134"/>
        <w:tab w:val="left" w:pos="1701"/>
        <w:tab w:val="left" w:pos="2268"/>
      </w:tabs>
      <w:contextualSpacing/>
    </w:pPr>
    <w:rPr>
      <w:rFonts w:ascii="Century Gothic" w:hAnsi="Century Gothic"/>
      <w:sz w:val="18"/>
    </w:rPr>
  </w:style>
  <w:style w:type="paragraph" w:customStyle="1" w:styleId="AMCListBulletStd">
    <w:name w:val="AMC List Bullet Std"/>
    <w:qFormat/>
    <w:rsid w:val="00BD7C41"/>
    <w:pPr>
      <w:numPr>
        <w:numId w:val="1"/>
      </w:numPr>
      <w:spacing w:before="120" w:after="120"/>
    </w:pPr>
    <w:rPr>
      <w:rFonts w:ascii="Arial" w:hAnsi="Arial" w:cs="HelveticaNeueCE-Light"/>
      <w:color w:val="000000"/>
      <w:sz w:val="22"/>
      <w:szCs w:val="18"/>
      <w:lang w:val="en-GB" w:eastAsia="en-US"/>
    </w:rPr>
  </w:style>
  <w:style w:type="paragraph" w:customStyle="1" w:styleId="AMCListNumberStd">
    <w:name w:val="AMC List Number Std"/>
    <w:qFormat/>
    <w:rsid w:val="00BD7C41"/>
    <w:pPr>
      <w:numPr>
        <w:numId w:val="2"/>
      </w:numPr>
      <w:spacing w:before="120" w:after="120"/>
    </w:pPr>
    <w:rPr>
      <w:rFonts w:ascii="Arial" w:hAnsi="Arial" w:cs="HelveticaNeueCE-Light"/>
      <w:color w:val="000000"/>
      <w:sz w:val="22"/>
      <w:szCs w:val="18"/>
      <w:lang w:val="en-GB" w:eastAsia="en-US"/>
    </w:rPr>
  </w:style>
  <w:style w:type="character" w:customStyle="1" w:styleId="AMCBodyCopyInsetChar1">
    <w:name w:val="AMC Body Copy Inset Char1"/>
    <w:link w:val="AMCBodyCopyInset"/>
    <w:locked/>
    <w:rsid w:val="00083AFD"/>
    <w:rPr>
      <w:rFonts w:ascii="Arial" w:hAnsi="Arial" w:cs="HelveticaNeueCE-Light"/>
      <w:color w:val="000000"/>
      <w:sz w:val="22"/>
      <w:szCs w:val="18"/>
      <w:lang w:val="en-GB" w:eastAsia="en-US"/>
    </w:rPr>
  </w:style>
  <w:style w:type="paragraph" w:customStyle="1" w:styleId="AMCBodyCopyInset">
    <w:name w:val="AMC Body Copy Inset"/>
    <w:basedOn w:val="Normal"/>
    <w:link w:val="AMCBodyCopyInsetChar1"/>
    <w:qFormat/>
    <w:rsid w:val="00083AFD"/>
    <w:pPr>
      <w:spacing w:line="220" w:lineRule="atLeast"/>
      <w:ind w:left="851"/>
      <w:jc w:val="both"/>
    </w:pPr>
    <w:rPr>
      <w:rFonts w:cs="HelveticaNeueCE-Light"/>
      <w:color w:val="000000"/>
      <w:szCs w:val="18"/>
      <w:lang w:val="en-GB"/>
    </w:rPr>
  </w:style>
  <w:style w:type="paragraph" w:customStyle="1" w:styleId="Default">
    <w:name w:val="Default"/>
    <w:rsid w:val="0008213B"/>
    <w:pPr>
      <w:autoSpaceDE w:val="0"/>
      <w:autoSpaceDN w:val="0"/>
      <w:adjustRightInd w:val="0"/>
    </w:pPr>
    <w:rPr>
      <w:rFonts w:ascii="Arial" w:hAnsi="Arial" w:cs="Arial"/>
      <w:color w:val="000000"/>
      <w:sz w:val="24"/>
      <w:szCs w:val="24"/>
    </w:rPr>
  </w:style>
  <w:style w:type="paragraph" w:customStyle="1" w:styleId="amcnormal11pt">
    <w:name w:val="amcnormal11pt"/>
    <w:basedOn w:val="Normal"/>
    <w:rsid w:val="00CD034E"/>
    <w:pPr>
      <w:spacing w:before="100" w:beforeAutospacing="1" w:after="100" w:afterAutospacing="1" w:line="240" w:lineRule="auto"/>
      <w:jc w:val="both"/>
    </w:pPr>
    <w:rPr>
      <w:rFonts w:eastAsia="Times New Roman"/>
      <w:lang w:eastAsia="en-AU"/>
    </w:rPr>
  </w:style>
  <w:style w:type="character" w:customStyle="1" w:styleId="AMCBodyCopyChar">
    <w:name w:val="AMC Body Copy Char"/>
    <w:link w:val="AMCBodyCopy"/>
    <w:locked/>
    <w:rsid w:val="00C07DE7"/>
    <w:rPr>
      <w:rFonts w:ascii="Arial" w:hAnsi="Arial" w:cs="HelveticaNeueCE-Light"/>
      <w:color w:val="000000"/>
      <w:sz w:val="22"/>
      <w:szCs w:val="18"/>
      <w:lang w:eastAsia="en-US"/>
    </w:rPr>
  </w:style>
  <w:style w:type="character" w:styleId="CommentReference">
    <w:name w:val="annotation reference"/>
    <w:basedOn w:val="DefaultParagraphFont"/>
    <w:rsid w:val="00050EF4"/>
    <w:rPr>
      <w:sz w:val="16"/>
      <w:szCs w:val="16"/>
    </w:rPr>
  </w:style>
  <w:style w:type="paragraph" w:styleId="CommentText">
    <w:name w:val="annotation text"/>
    <w:basedOn w:val="Normal"/>
    <w:link w:val="CommentTextChar"/>
    <w:rsid w:val="00050EF4"/>
    <w:pPr>
      <w:spacing w:line="240" w:lineRule="auto"/>
    </w:pPr>
    <w:rPr>
      <w:sz w:val="20"/>
      <w:szCs w:val="20"/>
    </w:rPr>
  </w:style>
  <w:style w:type="character" w:customStyle="1" w:styleId="CommentTextChar">
    <w:name w:val="Comment Text Char"/>
    <w:basedOn w:val="DefaultParagraphFont"/>
    <w:link w:val="CommentText"/>
    <w:rsid w:val="00050EF4"/>
    <w:rPr>
      <w:rFonts w:ascii="Arial" w:hAnsi="Arial"/>
      <w:lang w:eastAsia="en-US"/>
    </w:rPr>
  </w:style>
  <w:style w:type="paragraph" w:styleId="CommentSubject">
    <w:name w:val="annotation subject"/>
    <w:basedOn w:val="CommentText"/>
    <w:next w:val="CommentText"/>
    <w:link w:val="CommentSubjectChar"/>
    <w:rsid w:val="00050EF4"/>
    <w:rPr>
      <w:b/>
      <w:bCs/>
    </w:rPr>
  </w:style>
  <w:style w:type="character" w:customStyle="1" w:styleId="CommentSubjectChar">
    <w:name w:val="Comment Subject Char"/>
    <w:basedOn w:val="CommentTextChar"/>
    <w:link w:val="CommentSubject"/>
    <w:rsid w:val="00050EF4"/>
    <w:rPr>
      <w:rFonts w:ascii="Arial" w:hAnsi="Arial"/>
      <w:b/>
      <w:bCs/>
      <w:lang w:eastAsia="en-US"/>
    </w:rPr>
  </w:style>
  <w:style w:type="paragraph" w:styleId="BalloonText">
    <w:name w:val="Balloon Text"/>
    <w:basedOn w:val="Normal"/>
    <w:link w:val="BalloonTextChar"/>
    <w:rsid w:val="00050E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EF4"/>
    <w:rPr>
      <w:rFonts w:ascii="Tahoma" w:hAnsi="Tahoma" w:cs="Tahoma"/>
      <w:sz w:val="16"/>
      <w:szCs w:val="16"/>
      <w:lang w:eastAsia="en-US"/>
    </w:rPr>
  </w:style>
  <w:style w:type="paragraph" w:styleId="ListParagraph">
    <w:name w:val="List Paragraph"/>
    <w:basedOn w:val="Normal"/>
    <w:uiPriority w:val="34"/>
    <w:qFormat/>
    <w:rsid w:val="00E26FF5"/>
    <w:pPr>
      <w:ind w:left="720"/>
      <w:contextualSpacing/>
    </w:pPr>
  </w:style>
  <w:style w:type="table" w:styleId="TableGrid">
    <w:name w:val="Table Grid"/>
    <w:basedOn w:val="TableNormal"/>
    <w:uiPriority w:val="59"/>
    <w:rsid w:val="0051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3AE0"/>
    <w:pPr>
      <w:tabs>
        <w:tab w:val="center" w:pos="4513"/>
        <w:tab w:val="right" w:pos="9026"/>
      </w:tabs>
      <w:spacing w:before="0" w:after="0" w:line="240" w:lineRule="auto"/>
    </w:pPr>
  </w:style>
  <w:style w:type="character" w:customStyle="1" w:styleId="HeaderChar">
    <w:name w:val="Header Char"/>
    <w:basedOn w:val="DefaultParagraphFont"/>
    <w:link w:val="Header"/>
    <w:rsid w:val="00E33AE0"/>
    <w:rPr>
      <w:rFonts w:ascii="Arial" w:hAnsi="Arial"/>
      <w:sz w:val="22"/>
      <w:szCs w:val="24"/>
      <w:lang w:eastAsia="en-US"/>
    </w:rPr>
  </w:style>
  <w:style w:type="character" w:customStyle="1" w:styleId="FooterChar">
    <w:name w:val="Footer Char"/>
    <w:aliases w:val="AMC Footer Char"/>
    <w:basedOn w:val="DefaultParagraphFont"/>
    <w:link w:val="Footer"/>
    <w:uiPriority w:val="99"/>
    <w:rsid w:val="00E33AE0"/>
    <w:rPr>
      <w:rFonts w:ascii="Century Gothic" w:hAnsi="Century Gothic"/>
      <w:sz w:val="18"/>
      <w:szCs w:val="24"/>
      <w:lang w:eastAsia="en-US"/>
    </w:rPr>
  </w:style>
  <w:style w:type="paragraph" w:styleId="FootnoteText">
    <w:name w:val="footnote text"/>
    <w:basedOn w:val="Normal"/>
    <w:link w:val="FootnoteTextChar"/>
    <w:rsid w:val="00C07DE7"/>
    <w:pPr>
      <w:spacing w:before="0" w:after="0" w:line="240" w:lineRule="auto"/>
    </w:pPr>
    <w:rPr>
      <w:rFonts w:eastAsia="Times New Roman" w:cs="Arial"/>
      <w:sz w:val="20"/>
      <w:szCs w:val="20"/>
    </w:rPr>
  </w:style>
  <w:style w:type="character" w:customStyle="1" w:styleId="FootnoteTextChar">
    <w:name w:val="Footnote Text Char"/>
    <w:basedOn w:val="DefaultParagraphFont"/>
    <w:link w:val="FootnoteText"/>
    <w:rsid w:val="00C07DE7"/>
    <w:rPr>
      <w:rFonts w:ascii="Arial" w:eastAsia="Times New Roman" w:hAnsi="Arial" w:cs="Arial"/>
      <w:lang w:eastAsia="en-US"/>
    </w:rPr>
  </w:style>
  <w:style w:type="character" w:styleId="FootnoteReference">
    <w:name w:val="footnote reference"/>
    <w:rsid w:val="00C07DE7"/>
    <w:rPr>
      <w:vertAlign w:val="superscript"/>
    </w:rPr>
  </w:style>
  <w:style w:type="character" w:styleId="PageNumber">
    <w:name w:val="page number"/>
    <w:basedOn w:val="DefaultParagraphFont"/>
    <w:rsid w:val="00C07DE7"/>
  </w:style>
  <w:style w:type="paragraph" w:styleId="BodyText">
    <w:name w:val="Body Text"/>
    <w:basedOn w:val="Normal"/>
    <w:link w:val="BodyTextChar"/>
    <w:rsid w:val="00C07DE7"/>
    <w:pPr>
      <w:spacing w:before="0" w:after="0" w:line="240" w:lineRule="auto"/>
      <w:jc w:val="both"/>
    </w:pPr>
    <w:rPr>
      <w:rFonts w:ascii="Times New Roman" w:eastAsia="Times New Roman" w:hAnsi="Times New Roman"/>
      <w:color w:val="000000"/>
    </w:rPr>
  </w:style>
  <w:style w:type="character" w:customStyle="1" w:styleId="BodyTextChar">
    <w:name w:val="Body Text Char"/>
    <w:basedOn w:val="DefaultParagraphFont"/>
    <w:link w:val="BodyText"/>
    <w:rsid w:val="00C07DE7"/>
    <w:rPr>
      <w:rFonts w:ascii="Times New Roman" w:eastAsia="Times New Roman" w:hAnsi="Times New Roman"/>
      <w:color w:val="000000"/>
      <w:sz w:val="22"/>
      <w:szCs w:val="24"/>
      <w:lang w:eastAsia="en-US"/>
    </w:rPr>
  </w:style>
  <w:style w:type="paragraph" w:customStyle="1" w:styleId="Style1">
    <w:name w:val="Style1"/>
    <w:basedOn w:val="Normal"/>
    <w:rsid w:val="00C07DE7"/>
    <w:pPr>
      <w:numPr>
        <w:ilvl w:val="1"/>
        <w:numId w:val="3"/>
      </w:numPr>
      <w:overflowPunct w:val="0"/>
      <w:autoSpaceDE w:val="0"/>
      <w:autoSpaceDN w:val="0"/>
      <w:adjustRightInd w:val="0"/>
      <w:spacing w:before="0" w:after="0" w:line="240" w:lineRule="auto"/>
      <w:jc w:val="both"/>
      <w:textAlignment w:val="baseline"/>
    </w:pPr>
    <w:rPr>
      <w:rFonts w:ascii="Verdana" w:eastAsia="Times New Roman" w:hAnsi="Verdana"/>
      <w:szCs w:val="20"/>
    </w:rPr>
  </w:style>
  <w:style w:type="character" w:styleId="Hyperlink">
    <w:name w:val="Hyperlink"/>
    <w:rsid w:val="00C07DE7"/>
    <w:rPr>
      <w:color w:val="0000FF"/>
      <w:u w:val="single"/>
    </w:rPr>
  </w:style>
  <w:style w:type="paragraph" w:customStyle="1" w:styleId="AMCH2Heading">
    <w:name w:val="AMC H2 Heading"/>
    <w:qFormat/>
    <w:rsid w:val="00C07DE7"/>
    <w:pPr>
      <w:spacing w:before="240" w:after="60" w:line="220" w:lineRule="atLeast"/>
    </w:pPr>
    <w:rPr>
      <w:rFonts w:ascii="Arial" w:hAnsi="Arial" w:cs="HelveticaNeueCE-Medium"/>
      <w:b/>
      <w:color w:val="656565"/>
      <w:sz w:val="24"/>
      <w:szCs w:val="22"/>
      <w:lang w:val="en-GB" w:eastAsia="en-US"/>
    </w:rPr>
  </w:style>
  <w:style w:type="paragraph" w:customStyle="1" w:styleId="AMCH3Heading">
    <w:name w:val="AMC H3 Heading"/>
    <w:qFormat/>
    <w:rsid w:val="005E2175"/>
    <w:pPr>
      <w:numPr>
        <w:numId w:val="16"/>
      </w:numPr>
      <w:spacing w:before="80" w:after="80" w:line="220" w:lineRule="atLeast"/>
      <w:ind w:left="0" w:firstLine="0"/>
      <w:outlineLvl w:val="2"/>
    </w:pPr>
    <w:rPr>
      <w:rFonts w:ascii="Arial" w:hAnsi="Arial" w:cs="HelveticaNeueCE-Medium"/>
      <w:b/>
      <w:color w:val="000000"/>
      <w:sz w:val="2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119">
      <w:bodyDiv w:val="1"/>
      <w:marLeft w:val="0"/>
      <w:marRight w:val="0"/>
      <w:marTop w:val="0"/>
      <w:marBottom w:val="0"/>
      <w:divBdr>
        <w:top w:val="none" w:sz="0" w:space="0" w:color="auto"/>
        <w:left w:val="none" w:sz="0" w:space="0" w:color="auto"/>
        <w:bottom w:val="none" w:sz="0" w:space="0" w:color="auto"/>
        <w:right w:val="none" w:sz="0" w:space="0" w:color="auto"/>
      </w:divBdr>
    </w:div>
    <w:div w:id="303659883">
      <w:bodyDiv w:val="1"/>
      <w:marLeft w:val="0"/>
      <w:marRight w:val="0"/>
      <w:marTop w:val="0"/>
      <w:marBottom w:val="0"/>
      <w:divBdr>
        <w:top w:val="none" w:sz="0" w:space="0" w:color="auto"/>
        <w:left w:val="none" w:sz="0" w:space="0" w:color="auto"/>
        <w:bottom w:val="none" w:sz="0" w:space="0" w:color="auto"/>
        <w:right w:val="none" w:sz="0" w:space="0" w:color="auto"/>
      </w:divBdr>
      <w:divsChild>
        <w:div w:id="596863651">
          <w:marLeft w:val="0"/>
          <w:marRight w:val="0"/>
          <w:marTop w:val="0"/>
          <w:marBottom w:val="120"/>
          <w:divBdr>
            <w:top w:val="none" w:sz="0" w:space="0" w:color="auto"/>
            <w:left w:val="none" w:sz="0" w:space="0" w:color="auto"/>
            <w:bottom w:val="none" w:sz="0" w:space="0" w:color="auto"/>
            <w:right w:val="none" w:sz="0" w:space="0" w:color="auto"/>
          </w:divBdr>
        </w:div>
        <w:div w:id="1079714910">
          <w:marLeft w:val="0"/>
          <w:marRight w:val="0"/>
          <w:marTop w:val="0"/>
          <w:marBottom w:val="60"/>
          <w:divBdr>
            <w:top w:val="none" w:sz="0" w:space="0" w:color="auto"/>
            <w:left w:val="none" w:sz="0" w:space="0" w:color="auto"/>
            <w:bottom w:val="none" w:sz="0" w:space="0" w:color="auto"/>
            <w:right w:val="none" w:sz="0" w:space="0" w:color="auto"/>
          </w:divBdr>
        </w:div>
        <w:div w:id="1251543912">
          <w:marLeft w:val="0"/>
          <w:marRight w:val="0"/>
          <w:marTop w:val="0"/>
          <w:marBottom w:val="60"/>
          <w:divBdr>
            <w:top w:val="none" w:sz="0" w:space="0" w:color="auto"/>
            <w:left w:val="none" w:sz="0" w:space="0" w:color="auto"/>
            <w:bottom w:val="none" w:sz="0" w:space="0" w:color="auto"/>
            <w:right w:val="none" w:sz="0" w:space="0" w:color="auto"/>
          </w:divBdr>
        </w:div>
        <w:div w:id="1617563703">
          <w:marLeft w:val="0"/>
          <w:marRight w:val="0"/>
          <w:marTop w:val="0"/>
          <w:marBottom w:val="60"/>
          <w:divBdr>
            <w:top w:val="none" w:sz="0" w:space="0" w:color="auto"/>
            <w:left w:val="none" w:sz="0" w:space="0" w:color="auto"/>
            <w:bottom w:val="none" w:sz="0" w:space="0" w:color="auto"/>
            <w:right w:val="none" w:sz="0" w:space="0" w:color="auto"/>
          </w:divBdr>
        </w:div>
        <w:div w:id="1673072438">
          <w:marLeft w:val="0"/>
          <w:marRight w:val="0"/>
          <w:marTop w:val="0"/>
          <w:marBottom w:val="60"/>
          <w:divBdr>
            <w:top w:val="none" w:sz="0" w:space="0" w:color="auto"/>
            <w:left w:val="none" w:sz="0" w:space="0" w:color="auto"/>
            <w:bottom w:val="none" w:sz="0" w:space="0" w:color="auto"/>
            <w:right w:val="none" w:sz="0" w:space="0" w:color="auto"/>
          </w:divBdr>
        </w:div>
        <w:div w:id="1736388728">
          <w:marLeft w:val="0"/>
          <w:marRight w:val="0"/>
          <w:marTop w:val="0"/>
          <w:marBottom w:val="60"/>
          <w:divBdr>
            <w:top w:val="none" w:sz="0" w:space="0" w:color="auto"/>
            <w:left w:val="none" w:sz="0" w:space="0" w:color="auto"/>
            <w:bottom w:val="none" w:sz="0" w:space="0" w:color="auto"/>
            <w:right w:val="none" w:sz="0" w:space="0" w:color="auto"/>
          </w:divBdr>
        </w:div>
        <w:div w:id="1818523595">
          <w:marLeft w:val="0"/>
          <w:marRight w:val="0"/>
          <w:marTop w:val="0"/>
          <w:marBottom w:val="60"/>
          <w:divBdr>
            <w:top w:val="none" w:sz="0" w:space="0" w:color="auto"/>
            <w:left w:val="none" w:sz="0" w:space="0" w:color="auto"/>
            <w:bottom w:val="none" w:sz="0" w:space="0" w:color="auto"/>
            <w:right w:val="none" w:sz="0" w:space="0" w:color="auto"/>
          </w:divBdr>
        </w:div>
      </w:divsChild>
    </w:div>
    <w:div w:id="383407305">
      <w:bodyDiv w:val="1"/>
      <w:marLeft w:val="0"/>
      <w:marRight w:val="0"/>
      <w:marTop w:val="0"/>
      <w:marBottom w:val="0"/>
      <w:divBdr>
        <w:top w:val="none" w:sz="0" w:space="0" w:color="auto"/>
        <w:left w:val="none" w:sz="0" w:space="0" w:color="auto"/>
        <w:bottom w:val="none" w:sz="0" w:space="0" w:color="auto"/>
        <w:right w:val="none" w:sz="0" w:space="0" w:color="auto"/>
      </w:divBdr>
    </w:div>
    <w:div w:id="453334190">
      <w:bodyDiv w:val="1"/>
      <w:marLeft w:val="0"/>
      <w:marRight w:val="0"/>
      <w:marTop w:val="0"/>
      <w:marBottom w:val="0"/>
      <w:divBdr>
        <w:top w:val="none" w:sz="0" w:space="0" w:color="auto"/>
        <w:left w:val="none" w:sz="0" w:space="0" w:color="auto"/>
        <w:bottom w:val="none" w:sz="0" w:space="0" w:color="auto"/>
        <w:right w:val="none" w:sz="0" w:space="0" w:color="auto"/>
      </w:divBdr>
    </w:div>
    <w:div w:id="875505817">
      <w:bodyDiv w:val="1"/>
      <w:marLeft w:val="0"/>
      <w:marRight w:val="0"/>
      <w:marTop w:val="0"/>
      <w:marBottom w:val="0"/>
      <w:divBdr>
        <w:top w:val="none" w:sz="0" w:space="0" w:color="auto"/>
        <w:left w:val="none" w:sz="0" w:space="0" w:color="auto"/>
        <w:bottom w:val="none" w:sz="0" w:space="0" w:color="auto"/>
        <w:right w:val="none" w:sz="0" w:space="0" w:color="auto"/>
      </w:divBdr>
    </w:div>
    <w:div w:id="1622956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aqa.ac.nz/sites/all/files/AQA%20UNZ%20QA%20Brochure%202013.pdf" TargetMode="External"/><Relationship Id="rId1" Type="http://schemas.openxmlformats.org/officeDocument/2006/relationships/hyperlink" Target="http://www.teqsa.gov.au/abou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mc_word_toolbar\Workgroup_Templates\AMC_Template_Letterhead_Im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0D95-2727-43F5-AB0C-28BCF2F5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AMC_Template_Letterhead_Image</Template>
  <TotalTime>1</TotalTime>
  <Pages>11</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Addressee</vt:lpstr>
    </vt:vector>
  </TitlesOfParts>
  <Company>The White Studio</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Jessica Tipping</dc:creator>
  <cp:keywords/>
  <dc:description/>
  <cp:lastModifiedBy>Liesl Perryman</cp:lastModifiedBy>
  <cp:revision>2</cp:revision>
  <cp:lastPrinted>2016-06-14T04:25:00Z</cp:lastPrinted>
  <dcterms:created xsi:type="dcterms:W3CDTF">2018-12-13T22:15:00Z</dcterms:created>
  <dcterms:modified xsi:type="dcterms:W3CDTF">2018-12-13T22:15:00Z</dcterms:modified>
</cp:coreProperties>
</file>